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C9" w:rsidRDefault="00D72BCF">
      <w:pPr>
        <w:pStyle w:val="Heading1"/>
      </w:pPr>
      <w:bookmarkStart w:id="0" w:name="_gjdgxs" w:colFirst="0" w:colLast="0"/>
      <w:bookmarkStart w:id="1" w:name="_GoBack"/>
      <w:bookmarkEnd w:id="0"/>
      <w:bookmarkEnd w:id="1"/>
      <w:r>
        <w:t>Pupil premium strategy statement   2024 - 25</w:t>
      </w:r>
    </w:p>
    <w:p w:rsidR="00095DC9" w:rsidRDefault="00D72BCF">
      <w:pPr>
        <w:rPr>
          <w:b/>
        </w:rPr>
      </w:pPr>
      <w:r>
        <w:t xml:space="preserve">This statement details our school’s use of pupil premium (and recovery premium) funding to help improve the attainment of our disadvantaged pupils. </w:t>
      </w:r>
    </w:p>
    <w:p w:rsidR="00095DC9" w:rsidRDefault="00D72BCF">
      <w:pPr>
        <w:rPr>
          <w:b/>
        </w:rPr>
      </w:pPr>
      <w:r>
        <w:t>It outlines our pupil premium strategy, how we intend to spend the funding in this academic year and the outcomes for disadvantaged pupils last academic year.</w:t>
      </w:r>
    </w:p>
    <w:p w:rsidR="00095DC9" w:rsidRDefault="00D72BCF">
      <w:pPr>
        <w:pStyle w:val="Heading2"/>
      </w:pPr>
      <w:r>
        <w:t>School overview</w:t>
      </w:r>
    </w:p>
    <w:tbl>
      <w:tblPr>
        <w:tblStyle w:val="a"/>
        <w:tblW w:w="10060" w:type="dxa"/>
        <w:tblLayout w:type="fixed"/>
        <w:tblLook w:val="0400" w:firstRow="0" w:lastRow="0" w:firstColumn="0" w:lastColumn="0" w:noHBand="0" w:noVBand="1"/>
      </w:tblPr>
      <w:tblGrid>
        <w:gridCol w:w="6517"/>
        <w:gridCol w:w="3543"/>
      </w:tblGrid>
      <w:tr w:rsidR="00095DC9">
        <w:tc>
          <w:tcPr>
            <w:tcW w:w="65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t>Detail</w:t>
            </w:r>
          </w:p>
        </w:tc>
        <w:tc>
          <w:tcPr>
            <w:tcW w:w="354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t>Data</w:t>
            </w:r>
          </w:p>
        </w:tc>
      </w:tr>
      <w:tr w:rsidR="00095DC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 xml:space="preserve">Number of pupils in school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509</w:t>
            </w:r>
          </w:p>
        </w:tc>
      </w:tr>
      <w:tr w:rsidR="00095DC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Proportion (%) of pupil premium eligible pupils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54% (Potentially more tbc following checks to be made)</w:t>
            </w:r>
          </w:p>
        </w:tc>
      </w:tr>
      <w:tr w:rsidR="00095DC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 – you must still publish an updated statement each</w:t>
            </w:r>
            <w:r>
              <w:rPr>
                <w:b/>
              </w:rPr>
              <w:t xml:space="preserve"> academic year)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ind w:left="57" w:right="57"/>
            </w:pPr>
            <w:r>
              <w:t xml:space="preserve">2021 – 2025 </w:t>
            </w:r>
          </w:p>
          <w:p w:rsidR="00095DC9" w:rsidRDefault="00D72BCF">
            <w:pPr>
              <w:pBdr>
                <w:top w:val="nil"/>
                <w:left w:val="nil"/>
                <w:bottom w:val="nil"/>
                <w:right w:val="nil"/>
                <w:between w:val="nil"/>
              </w:pBdr>
              <w:spacing w:before="60" w:after="60" w:line="240" w:lineRule="auto"/>
              <w:ind w:left="57" w:right="57"/>
            </w:pPr>
            <w:r>
              <w:rPr>
                <w:i/>
              </w:rPr>
              <w:t>(current year 24 – 25)</w:t>
            </w:r>
          </w:p>
        </w:tc>
      </w:tr>
      <w:tr w:rsidR="00095DC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Date this statement was published</w:t>
            </w: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19.11.24</w:t>
            </w:r>
          </w:p>
        </w:tc>
      </w:tr>
      <w:tr w:rsidR="00095DC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Date on which it will be reviewed</w:t>
            </w: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Sept 2025</w:t>
            </w:r>
          </w:p>
        </w:tc>
      </w:tr>
      <w:tr w:rsidR="00095DC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Statement authorised by</w:t>
            </w: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Kate Bulman</w:t>
            </w:r>
          </w:p>
        </w:tc>
      </w:tr>
      <w:tr w:rsidR="00095DC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Pupil premium lead</w:t>
            </w: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Kate Bulman</w:t>
            </w:r>
          </w:p>
        </w:tc>
      </w:tr>
      <w:tr w:rsidR="00095DC9">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pPr>
            <w:r>
              <w:t>Governor / Trustee lead</w:t>
            </w: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highlight w:val="white"/>
              </w:rPr>
            </w:pPr>
            <w:r>
              <w:rPr>
                <w:highlight w:val="white"/>
              </w:rPr>
              <w:t>Paul Marshall</w:t>
            </w:r>
          </w:p>
        </w:tc>
      </w:tr>
    </w:tbl>
    <w:p w:rsidR="00095DC9" w:rsidRDefault="00D72BCF">
      <w:pPr>
        <w:pStyle w:val="Heading2"/>
      </w:pPr>
      <w:r>
        <w:t>Funding overview</w:t>
      </w:r>
    </w:p>
    <w:tbl>
      <w:tblPr>
        <w:tblStyle w:val="a0"/>
        <w:tblW w:w="10201" w:type="dxa"/>
        <w:tblLayout w:type="fixed"/>
        <w:tblLook w:val="0400" w:firstRow="0" w:lastRow="0" w:firstColumn="0" w:lastColumn="0" w:noHBand="0" w:noVBand="1"/>
      </w:tblPr>
      <w:tblGrid>
        <w:gridCol w:w="6091"/>
        <w:gridCol w:w="4110"/>
      </w:tblGrid>
      <w:tr w:rsidR="00095DC9">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095DC9" w:rsidRDefault="00D72BCF">
            <w:pPr>
              <w:pBdr>
                <w:top w:val="nil"/>
                <w:left w:val="nil"/>
                <w:bottom w:val="nil"/>
                <w:right w:val="nil"/>
                <w:between w:val="nil"/>
              </w:pBdr>
              <w:spacing w:before="60" w:after="60" w:line="240" w:lineRule="auto"/>
              <w:ind w:left="57" w:right="57"/>
            </w:pPr>
            <w:r>
              <w:rPr>
                <w:b/>
              </w:rPr>
              <w:t>Detail</w:t>
            </w:r>
          </w:p>
        </w:tc>
        <w:tc>
          <w:tcPr>
            <w:tcW w:w="411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095DC9" w:rsidRDefault="00D72BCF">
            <w:pPr>
              <w:pBdr>
                <w:top w:val="nil"/>
                <w:left w:val="nil"/>
                <w:bottom w:val="nil"/>
                <w:right w:val="nil"/>
                <w:between w:val="nil"/>
              </w:pBdr>
              <w:spacing w:before="60" w:after="60" w:line="240" w:lineRule="auto"/>
              <w:ind w:left="57" w:right="57"/>
            </w:pPr>
            <w:r>
              <w:rPr>
                <w:b/>
              </w:rPr>
              <w:t>Amount</w:t>
            </w:r>
          </w:p>
        </w:tc>
      </w:tr>
      <w:tr w:rsidR="00095DC9">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DC9" w:rsidRDefault="00D72BCF">
            <w:pPr>
              <w:pBdr>
                <w:top w:val="nil"/>
                <w:left w:val="nil"/>
                <w:bottom w:val="nil"/>
                <w:right w:val="nil"/>
                <w:between w:val="nil"/>
              </w:pBdr>
              <w:spacing w:before="60" w:after="60" w:line="240" w:lineRule="auto"/>
              <w:ind w:left="57" w:right="57"/>
            </w:pPr>
            <w:r>
              <w:t>Pupil premium funding allocation this academic year</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highlight w:val="white"/>
              </w:rPr>
            </w:pPr>
            <w:r>
              <w:rPr>
                <w:highlight w:val="white"/>
              </w:rPr>
              <w:t>£349,280 FSM</w:t>
            </w:r>
          </w:p>
          <w:p w:rsidR="00095DC9" w:rsidRDefault="00D72BCF">
            <w:pPr>
              <w:pBdr>
                <w:top w:val="nil"/>
                <w:left w:val="nil"/>
                <w:bottom w:val="nil"/>
                <w:right w:val="nil"/>
                <w:between w:val="nil"/>
              </w:pBdr>
              <w:spacing w:before="60" w:after="60" w:line="240" w:lineRule="auto"/>
              <w:ind w:left="57" w:right="57"/>
              <w:rPr>
                <w:highlight w:val="white"/>
              </w:rPr>
            </w:pPr>
            <w:r>
              <w:rPr>
                <w:highlight w:val="white"/>
              </w:rPr>
              <w:t>£680 Service children</w:t>
            </w:r>
          </w:p>
          <w:p w:rsidR="00095DC9" w:rsidRDefault="00D72BCF">
            <w:pPr>
              <w:pBdr>
                <w:top w:val="nil"/>
                <w:left w:val="nil"/>
                <w:bottom w:val="nil"/>
                <w:right w:val="nil"/>
                <w:between w:val="nil"/>
              </w:pBdr>
              <w:spacing w:before="60" w:after="60" w:line="240" w:lineRule="auto"/>
              <w:ind w:right="57"/>
              <w:rPr>
                <w:highlight w:val="white"/>
              </w:rPr>
            </w:pPr>
            <w:r>
              <w:rPr>
                <w:highlight w:val="white"/>
              </w:rPr>
              <w:t xml:space="preserve"> £9,302 EYPP </w:t>
            </w:r>
          </w:p>
          <w:p w:rsidR="00095DC9" w:rsidRDefault="00D72BCF">
            <w:pPr>
              <w:pBdr>
                <w:top w:val="nil"/>
                <w:left w:val="nil"/>
                <w:bottom w:val="nil"/>
                <w:right w:val="nil"/>
                <w:between w:val="nil"/>
              </w:pBdr>
              <w:spacing w:before="60" w:after="60" w:line="240" w:lineRule="auto"/>
              <w:ind w:right="57"/>
              <w:rPr>
                <w:highlight w:val="white"/>
              </w:rPr>
            </w:pPr>
            <w:r>
              <w:rPr>
                <w:highlight w:val="white"/>
              </w:rPr>
              <w:t>£10,280 Post LAC</w:t>
            </w:r>
          </w:p>
          <w:p w:rsidR="00095DC9" w:rsidRDefault="00D72BCF">
            <w:pPr>
              <w:pBdr>
                <w:top w:val="nil"/>
                <w:left w:val="nil"/>
                <w:bottom w:val="nil"/>
                <w:right w:val="nil"/>
                <w:between w:val="nil"/>
              </w:pBdr>
              <w:spacing w:before="60" w:after="60" w:line="240" w:lineRule="auto"/>
              <w:ind w:right="57"/>
              <w:rPr>
                <w:highlight w:val="white"/>
              </w:rPr>
            </w:pPr>
            <w:r>
              <w:rPr>
                <w:highlight w:val="white"/>
              </w:rPr>
              <w:t>+ up to 1800 per LAC child for specific things identified in PEP</w:t>
            </w:r>
          </w:p>
        </w:tc>
      </w:tr>
      <w:tr w:rsidR="00095DC9">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DC9" w:rsidRDefault="00D72BCF">
            <w:pPr>
              <w:pBdr>
                <w:top w:val="nil"/>
                <w:left w:val="nil"/>
                <w:bottom w:val="nil"/>
                <w:right w:val="nil"/>
                <w:between w:val="nil"/>
              </w:pBdr>
              <w:spacing w:before="60" w:after="60" w:line="240" w:lineRule="auto"/>
              <w:ind w:left="57" w:right="57"/>
            </w:pPr>
            <w:r>
              <w:t>Recovery premium funding allocation this academic year</w:t>
            </w:r>
          </w:p>
          <w:p w:rsidR="00095DC9" w:rsidRDefault="00D72BCF">
            <w:pPr>
              <w:pBdr>
                <w:top w:val="nil"/>
                <w:left w:val="nil"/>
                <w:bottom w:val="nil"/>
                <w:right w:val="nil"/>
                <w:between w:val="nil"/>
              </w:pBdr>
              <w:spacing w:before="60" w:after="60" w:line="240" w:lineRule="auto"/>
              <w:ind w:left="57" w:right="57"/>
              <w:rPr>
                <w:i/>
              </w:rPr>
            </w:pPr>
            <w:r>
              <w:rPr>
                <w:i/>
              </w:rPr>
              <w:t>Recovery premium received in academic year 2023/24 cannot be carried forward beyond August 31, 2024.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i/>
                <w:highlight w:val="white"/>
              </w:rPr>
            </w:pPr>
            <w:r>
              <w:rPr>
                <w:i/>
                <w:highlight w:val="white"/>
              </w:rPr>
              <w:t>This funding has ended</w:t>
            </w:r>
          </w:p>
        </w:tc>
      </w:tr>
      <w:tr w:rsidR="00095DC9">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DC9" w:rsidRDefault="00D72BCF">
            <w:pPr>
              <w:pBdr>
                <w:top w:val="nil"/>
                <w:left w:val="nil"/>
                <w:bottom w:val="nil"/>
                <w:right w:val="nil"/>
                <w:between w:val="nil"/>
              </w:pBdr>
              <w:spacing w:before="60" w:after="120" w:line="240" w:lineRule="auto"/>
              <w:ind w:left="57" w:right="57"/>
            </w:pPr>
            <w:r>
              <w:t xml:space="preserve">Pupil premium funding carried forward from previous years </w:t>
            </w:r>
            <w:r>
              <w:rPr>
                <w:i/>
              </w:rPr>
              <w:t>(enter £0 if not applicable)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highlight w:val="white"/>
              </w:rPr>
            </w:pPr>
            <w:r>
              <w:rPr>
                <w:highlight w:val="white"/>
              </w:rPr>
              <w:t>£0</w:t>
            </w:r>
          </w:p>
        </w:tc>
      </w:tr>
      <w:tr w:rsidR="00095DC9">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120" w:line="240" w:lineRule="auto"/>
              <w:ind w:left="57" w:right="57"/>
              <w:rPr>
                <w:b/>
              </w:rPr>
            </w:pPr>
            <w:r>
              <w:rPr>
                <w:b/>
              </w:rPr>
              <w:t>Total budget for this academic year</w:t>
            </w:r>
          </w:p>
          <w:p w:rsidR="00095DC9" w:rsidRDefault="00095DC9">
            <w:pPr>
              <w:pBdr>
                <w:top w:val="nil"/>
                <w:left w:val="nil"/>
                <w:bottom w:val="nil"/>
                <w:right w:val="nil"/>
                <w:between w:val="nil"/>
              </w:pBdr>
              <w:spacing w:before="60" w:after="60" w:line="240" w:lineRule="auto"/>
              <w:ind w:left="57" w:right="57"/>
              <w:rPr>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highlight w:val="white"/>
              </w:rPr>
            </w:pPr>
            <w:r>
              <w:rPr>
                <w:highlight w:val="white"/>
              </w:rPr>
              <w:t>£369, 542</w:t>
            </w:r>
          </w:p>
        </w:tc>
      </w:tr>
    </w:tbl>
    <w:p w:rsidR="00095DC9" w:rsidRDefault="00D72BCF">
      <w:pPr>
        <w:pStyle w:val="Heading1"/>
        <w:rPr>
          <w:sz w:val="40"/>
          <w:szCs w:val="40"/>
        </w:rPr>
      </w:pPr>
      <w:r>
        <w:rPr>
          <w:sz w:val="40"/>
          <w:szCs w:val="40"/>
        </w:rPr>
        <w:lastRenderedPageBreak/>
        <w:t>Part A: Pupil premium strategy plan</w:t>
      </w:r>
    </w:p>
    <w:p w:rsidR="00095DC9" w:rsidRDefault="00D72BCF">
      <w:pPr>
        <w:pStyle w:val="Heading2"/>
        <w:rPr>
          <w:sz w:val="36"/>
          <w:szCs w:val="36"/>
        </w:rPr>
      </w:pPr>
      <w:bookmarkStart w:id="2" w:name="_30j0zll" w:colFirst="0" w:colLast="0"/>
      <w:bookmarkEnd w:id="2"/>
      <w:r>
        <w:rPr>
          <w:sz w:val="36"/>
          <w:szCs w:val="36"/>
        </w:rPr>
        <w:t>Statement of intent</w:t>
      </w:r>
    </w:p>
    <w:tbl>
      <w:tblPr>
        <w:tblStyle w:val="a1"/>
        <w:tblW w:w="9486" w:type="dxa"/>
        <w:tblLayout w:type="fixed"/>
        <w:tblLook w:val="0400" w:firstRow="0" w:lastRow="0" w:firstColumn="0" w:lastColumn="0" w:noHBand="0" w:noVBand="1"/>
      </w:tblPr>
      <w:tblGrid>
        <w:gridCol w:w="9486"/>
      </w:tblGrid>
      <w:tr w:rsidR="00095DC9">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120"/>
              <w:rPr>
                <w:color w:val="000000"/>
              </w:rPr>
            </w:pPr>
            <w:r>
              <w:rPr>
                <w:color w:val="000000"/>
              </w:rPr>
              <w:t>Our intention is that all pupils, irrespective of their background or the challenges they face, attend school regularly, make good progress and achieve high attainment across all subject areas. The focus of our pupil premium strategy is to support disadvan</w:t>
            </w:r>
            <w:r>
              <w:rPr>
                <w:color w:val="000000"/>
              </w:rPr>
              <w:t xml:space="preserve">taged pupils to achieve that goal, including progress for those who are already high attainers. </w:t>
            </w:r>
          </w:p>
          <w:p w:rsidR="00095DC9" w:rsidRDefault="00D72BCF">
            <w:pPr>
              <w:spacing w:before="120"/>
              <w:rPr>
                <w:color w:val="000000"/>
              </w:rPr>
            </w:pPr>
            <w:r>
              <w:rPr>
                <w:color w:val="000000"/>
              </w:rPr>
              <w:t>We will consider the challenges faced by all our vulnerable pupils, including those who have a social worker or are young carers. The activity we have outlined</w:t>
            </w:r>
            <w:r>
              <w:rPr>
                <w:color w:val="000000"/>
              </w:rPr>
              <w:t xml:space="preserve"> in this statement is intended to support their needs, regardless of whether they are disadvantaged or not.</w:t>
            </w:r>
          </w:p>
          <w:p w:rsidR="00095DC9" w:rsidRDefault="00D72BCF">
            <w:pPr>
              <w:rPr>
                <w:color w:val="000000"/>
              </w:rPr>
            </w:pPr>
            <w:r>
              <w:rPr>
                <w:color w:val="000000"/>
              </w:rPr>
              <w:t xml:space="preserve">High-quality teaching is at the heart of our approach, with a focus on areas in which disadvantaged pupils require the most support. This is proven </w:t>
            </w:r>
            <w:r>
              <w:rPr>
                <w:color w:val="000000"/>
              </w:rPr>
              <w:t>to have the greatest impact on closing the disadvantage attainment gap and at the same time will benefit the non-disadvantaged pupils in our school. Implicit in the intended outcomes detailed below, is the intention that non-disadvantaged pupils’ attainmen</w:t>
            </w:r>
            <w:r>
              <w:rPr>
                <w:color w:val="000000"/>
              </w:rPr>
              <w:t>t will be sustained and improved alongside progress for their disadvantaged peers.</w:t>
            </w:r>
          </w:p>
          <w:p w:rsidR="00095DC9" w:rsidRDefault="00D72BCF">
            <w:pPr>
              <w:rPr>
                <w:color w:val="000000"/>
              </w:rPr>
            </w:pPr>
            <w:r>
              <w:rPr>
                <w:color w:val="000000"/>
              </w:rPr>
              <w:t>Our strategy is also integral to wider school plans for education recovery following the COVID-19 pandemic, notably in its targeted support through the National Tutoring Pro</w:t>
            </w:r>
            <w:r>
              <w:rPr>
                <w:color w:val="000000"/>
              </w:rPr>
              <w:t>gramme for pupils whose education has been worst affected, including non-disadvantaged pupils.  Even though this funding has now ceased, we will still make use of an Academic Mentor and 1:1 tutoring alongside other interventions to support children to catc</w:t>
            </w:r>
            <w:r>
              <w:rPr>
                <w:color w:val="000000"/>
              </w:rPr>
              <w:t xml:space="preserve">h up and keep up.  </w:t>
            </w:r>
          </w:p>
          <w:p w:rsidR="00095DC9" w:rsidRDefault="00D72BCF">
            <w:pPr>
              <w:spacing w:after="120"/>
              <w:rPr>
                <w:color w:val="000000"/>
              </w:rPr>
            </w:pPr>
            <w:r>
              <w:rPr>
                <w:color w:val="000000"/>
              </w:rPr>
              <w:t>Our approach will be responsive to common challenges and individual needs, rooted in robust diagnostic assessment, not assumptions about the impact of disadvantage. The approaches we have adopted complement each other to help pupils exc</w:t>
            </w:r>
            <w:r>
              <w:rPr>
                <w:color w:val="000000"/>
              </w:rPr>
              <w:t>el. To ensure they are effective we will:</w:t>
            </w:r>
          </w:p>
          <w:p w:rsidR="00095DC9" w:rsidRDefault="00D72BCF">
            <w:pPr>
              <w:numPr>
                <w:ilvl w:val="0"/>
                <w:numId w:val="2"/>
              </w:numPr>
              <w:spacing w:after="0"/>
            </w:pPr>
            <w:r>
              <w:rPr>
                <w:color w:val="000000"/>
              </w:rPr>
              <w:t>ensure disadvantaged pupils are challenged in the work that they’re set</w:t>
            </w:r>
          </w:p>
          <w:p w:rsidR="00095DC9" w:rsidRDefault="00D72BCF">
            <w:pPr>
              <w:numPr>
                <w:ilvl w:val="0"/>
                <w:numId w:val="2"/>
              </w:numPr>
              <w:spacing w:after="0"/>
            </w:pPr>
            <w:r>
              <w:rPr>
                <w:color w:val="000000"/>
              </w:rPr>
              <w:t>act early to intervene at the point need is identified</w:t>
            </w:r>
          </w:p>
          <w:p w:rsidR="00095DC9" w:rsidRDefault="00D72BCF">
            <w:pPr>
              <w:keepNext/>
              <w:numPr>
                <w:ilvl w:val="0"/>
                <w:numId w:val="2"/>
              </w:numPr>
              <w:pBdr>
                <w:top w:val="nil"/>
                <w:left w:val="nil"/>
                <w:bottom w:val="nil"/>
                <w:right w:val="nil"/>
                <w:between w:val="nil"/>
              </w:pBdr>
              <w:spacing w:after="120"/>
              <w:rPr>
                <w:sz w:val="28"/>
                <w:szCs w:val="28"/>
              </w:rPr>
            </w:pPr>
            <w:r>
              <w:rPr>
                <w:color w:val="000000"/>
              </w:rPr>
              <w:t xml:space="preserve">adopt a whole school approach in which all staff take responsibility for disadvantaged </w:t>
            </w:r>
            <w:r>
              <w:rPr>
                <w:color w:val="000000"/>
              </w:rPr>
              <w:t xml:space="preserve">pupils’ outcomes and raise expectations of what they can achieve. </w:t>
            </w:r>
          </w:p>
          <w:p w:rsidR="00095DC9" w:rsidRDefault="00095DC9">
            <w:pPr>
              <w:pBdr>
                <w:top w:val="nil"/>
                <w:left w:val="nil"/>
                <w:bottom w:val="nil"/>
                <w:right w:val="nil"/>
                <w:between w:val="nil"/>
              </w:pBdr>
              <w:ind w:left="720" w:hanging="360"/>
              <w:rPr>
                <w:sz w:val="28"/>
                <w:szCs w:val="28"/>
              </w:rPr>
            </w:pPr>
          </w:p>
        </w:tc>
      </w:tr>
    </w:tbl>
    <w:p w:rsidR="00095DC9" w:rsidRDefault="00095DC9">
      <w:pPr>
        <w:pStyle w:val="Heading2"/>
        <w:spacing w:before="600"/>
        <w:rPr>
          <w:sz w:val="28"/>
          <w:szCs w:val="28"/>
        </w:rPr>
      </w:pPr>
    </w:p>
    <w:p w:rsidR="00095DC9" w:rsidRDefault="00095DC9"/>
    <w:p w:rsidR="00095DC9" w:rsidRDefault="00D72BCF">
      <w:pPr>
        <w:pStyle w:val="Heading2"/>
        <w:spacing w:before="600"/>
        <w:rPr>
          <w:sz w:val="28"/>
          <w:szCs w:val="28"/>
        </w:rPr>
      </w:pPr>
      <w:r>
        <w:rPr>
          <w:sz w:val="28"/>
          <w:szCs w:val="28"/>
        </w:rPr>
        <w:lastRenderedPageBreak/>
        <w:t>Challenges</w:t>
      </w:r>
    </w:p>
    <w:p w:rsidR="00095DC9" w:rsidRDefault="00D72BCF">
      <w:pPr>
        <w:rPr>
          <w:sz w:val="20"/>
          <w:szCs w:val="20"/>
        </w:rPr>
      </w:pPr>
      <w:r>
        <w:rPr>
          <w:sz w:val="20"/>
          <w:szCs w:val="2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095DC9">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sz w:val="20"/>
                <w:szCs w:val="20"/>
              </w:rPr>
            </w:pPr>
            <w:r>
              <w:rPr>
                <w:b/>
                <w:sz w:val="20"/>
                <w:szCs w:val="20"/>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sz w:val="20"/>
                <w:szCs w:val="20"/>
              </w:rPr>
            </w:pPr>
            <w:r>
              <w:rPr>
                <w:b/>
                <w:sz w:val="20"/>
                <w:szCs w:val="20"/>
              </w:rPr>
              <w:t xml:space="preserve">Detail of challenge </w:t>
            </w:r>
          </w:p>
        </w:tc>
      </w:tr>
      <w:tr w:rsidR="00095DC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sz w:val="18"/>
                <w:szCs w:val="18"/>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0"/>
                <w:szCs w:val="20"/>
              </w:rPr>
            </w:pPr>
            <w:r>
              <w:rPr>
                <w:color w:val="000000"/>
                <w:sz w:val="20"/>
                <w:szCs w:val="20"/>
              </w:rPr>
              <w:t>Assessments, observations, and discussions with pupils indicate underdeveloped oral language skills and vocabulary gaps among many disadvantaged pupils. These are evident from nursery through to KS2 and in general, are more prevalent among our disadvantage</w:t>
            </w:r>
            <w:r>
              <w:rPr>
                <w:color w:val="000000"/>
                <w:sz w:val="20"/>
                <w:szCs w:val="20"/>
              </w:rPr>
              <w:t>d pupils than their peers.</w:t>
            </w:r>
          </w:p>
        </w:tc>
      </w:tr>
      <w:tr w:rsidR="00095DC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sz w:val="18"/>
                <w:szCs w:val="18"/>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120" w:line="240" w:lineRule="auto"/>
              <w:ind w:left="57" w:right="57"/>
              <w:rPr>
                <w:color w:val="000000"/>
                <w:sz w:val="20"/>
                <w:szCs w:val="20"/>
              </w:rPr>
            </w:pPr>
            <w:r>
              <w:rPr>
                <w:color w:val="000000"/>
                <w:sz w:val="20"/>
                <w:szCs w:val="20"/>
              </w:rPr>
              <w:t xml:space="preserve">Assessments, observations, and discussions with pupils suggest disadvantaged pupils generally have greater difficulties with reading than their peers. </w:t>
            </w:r>
          </w:p>
          <w:p w:rsidR="00095DC9" w:rsidRDefault="00D72BCF">
            <w:pPr>
              <w:pBdr>
                <w:top w:val="nil"/>
                <w:left w:val="nil"/>
                <w:bottom w:val="nil"/>
                <w:right w:val="nil"/>
                <w:between w:val="nil"/>
              </w:pBdr>
              <w:spacing w:before="60" w:after="60" w:line="240" w:lineRule="auto"/>
              <w:ind w:left="57" w:right="57"/>
              <w:rPr>
                <w:color w:val="000000"/>
                <w:sz w:val="20"/>
                <w:szCs w:val="20"/>
                <w:highlight w:val="white"/>
              </w:rPr>
            </w:pPr>
            <w:r>
              <w:rPr>
                <w:color w:val="000000"/>
                <w:sz w:val="20"/>
                <w:szCs w:val="20"/>
                <w:highlight w:val="white"/>
              </w:rPr>
              <w:t>EOKS2 Outcomes</w:t>
            </w:r>
          </w:p>
          <w:p w:rsidR="00095DC9" w:rsidRDefault="00D72BCF">
            <w:pPr>
              <w:pBdr>
                <w:top w:val="nil"/>
                <w:left w:val="nil"/>
                <w:bottom w:val="nil"/>
                <w:right w:val="nil"/>
                <w:between w:val="nil"/>
              </w:pBdr>
              <w:spacing w:before="60" w:after="60" w:line="240" w:lineRule="auto"/>
              <w:ind w:left="57" w:right="57"/>
              <w:rPr>
                <w:color w:val="000000"/>
                <w:sz w:val="20"/>
                <w:szCs w:val="20"/>
                <w:highlight w:val="white"/>
              </w:rPr>
            </w:pPr>
            <w:r>
              <w:rPr>
                <w:color w:val="000000"/>
                <w:sz w:val="20"/>
                <w:szCs w:val="20"/>
                <w:highlight w:val="white"/>
              </w:rPr>
              <w:t>23 24 61% of our disadvantage pupils achieved ARE compared to 69.7% Non disadvantaged.</w:t>
            </w:r>
          </w:p>
          <w:p w:rsidR="00095DC9" w:rsidRDefault="00095DC9">
            <w:pPr>
              <w:pBdr>
                <w:top w:val="nil"/>
                <w:left w:val="nil"/>
                <w:bottom w:val="nil"/>
                <w:right w:val="nil"/>
                <w:between w:val="nil"/>
              </w:pBdr>
              <w:spacing w:before="60" w:after="60" w:line="240" w:lineRule="auto"/>
              <w:ind w:left="57" w:right="57"/>
              <w:rPr>
                <w:sz w:val="18"/>
                <w:szCs w:val="18"/>
                <w:highlight w:val="white"/>
              </w:rPr>
            </w:pPr>
          </w:p>
          <w:p w:rsidR="00095DC9" w:rsidRDefault="00095DC9">
            <w:pPr>
              <w:pBdr>
                <w:top w:val="nil"/>
                <w:left w:val="nil"/>
                <w:bottom w:val="nil"/>
                <w:right w:val="nil"/>
                <w:between w:val="nil"/>
              </w:pBdr>
              <w:spacing w:before="60" w:after="60" w:line="240" w:lineRule="auto"/>
              <w:ind w:left="57" w:right="57"/>
              <w:rPr>
                <w:sz w:val="18"/>
                <w:szCs w:val="18"/>
                <w:highlight w:val="white"/>
              </w:rPr>
            </w:pPr>
          </w:p>
        </w:tc>
      </w:tr>
      <w:tr w:rsidR="00095DC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sz w:val="18"/>
                <w:szCs w:val="18"/>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120" w:line="240" w:lineRule="auto"/>
              <w:ind w:left="57" w:right="57"/>
              <w:rPr>
                <w:color w:val="000000"/>
                <w:sz w:val="20"/>
                <w:szCs w:val="20"/>
              </w:rPr>
            </w:pPr>
            <w:r>
              <w:rPr>
                <w:color w:val="000000"/>
                <w:sz w:val="20"/>
                <w:szCs w:val="20"/>
              </w:rPr>
              <w:t xml:space="preserve">Internal and external assessments indicate that maths attainment among disadvantaged pupils is significantly below that of non-disadvantaged pupils. </w:t>
            </w:r>
          </w:p>
          <w:p w:rsidR="00095DC9" w:rsidRDefault="00D72BCF">
            <w:pPr>
              <w:pBdr>
                <w:top w:val="nil"/>
                <w:left w:val="nil"/>
                <w:bottom w:val="nil"/>
                <w:right w:val="nil"/>
                <w:between w:val="nil"/>
              </w:pBdr>
              <w:spacing w:before="60" w:after="60" w:line="240" w:lineRule="auto"/>
              <w:ind w:left="57" w:right="57"/>
              <w:rPr>
                <w:color w:val="000000"/>
                <w:sz w:val="20"/>
                <w:szCs w:val="20"/>
                <w:highlight w:val="white"/>
              </w:rPr>
            </w:pPr>
            <w:r>
              <w:rPr>
                <w:color w:val="000000"/>
                <w:sz w:val="20"/>
                <w:szCs w:val="20"/>
                <w:highlight w:val="white"/>
              </w:rPr>
              <w:t>EOKS2 Outcomes</w:t>
            </w:r>
          </w:p>
          <w:p w:rsidR="00095DC9" w:rsidRDefault="00D72BCF">
            <w:pPr>
              <w:pBdr>
                <w:top w:val="nil"/>
                <w:left w:val="nil"/>
                <w:bottom w:val="nil"/>
                <w:right w:val="nil"/>
                <w:between w:val="nil"/>
              </w:pBdr>
              <w:spacing w:before="60" w:after="60" w:line="240" w:lineRule="auto"/>
              <w:ind w:left="57" w:right="57"/>
              <w:rPr>
                <w:color w:val="000000"/>
                <w:sz w:val="20"/>
                <w:szCs w:val="20"/>
                <w:highlight w:val="green"/>
              </w:rPr>
            </w:pPr>
            <w:r>
              <w:rPr>
                <w:color w:val="000000"/>
                <w:sz w:val="20"/>
                <w:szCs w:val="20"/>
                <w:highlight w:val="white"/>
              </w:rPr>
              <w:t xml:space="preserve">23 24 61% of our disadvantage pupils achieved ARE compared to 84.8% Non disadvantaged. </w:t>
            </w:r>
          </w:p>
        </w:tc>
      </w:tr>
      <w:tr w:rsidR="00095DC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sz w:val="18"/>
                <w:szCs w:val="18"/>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120" w:line="240" w:lineRule="auto"/>
              <w:ind w:left="57" w:right="57"/>
              <w:rPr>
                <w:color w:val="000000"/>
                <w:sz w:val="20"/>
                <w:szCs w:val="20"/>
              </w:rPr>
            </w:pPr>
            <w:r>
              <w:rPr>
                <w:color w:val="000000"/>
                <w:sz w:val="20"/>
                <w:szCs w:val="20"/>
              </w:rPr>
              <w:t>Our attendance data indicates that attendance among disadvantaged pupils in 2022 23 was 21% lower than for non-disadvantaged pupils.</w:t>
            </w:r>
          </w:p>
          <w:p w:rsidR="00095DC9" w:rsidRDefault="00D72BCF">
            <w:pPr>
              <w:spacing w:before="60" w:after="120" w:line="240" w:lineRule="auto"/>
              <w:ind w:left="57" w:right="57"/>
              <w:rPr>
                <w:color w:val="000000"/>
                <w:sz w:val="20"/>
                <w:szCs w:val="20"/>
              </w:rPr>
            </w:pPr>
            <w:r>
              <w:rPr>
                <w:color w:val="000000"/>
                <w:sz w:val="20"/>
                <w:szCs w:val="20"/>
              </w:rPr>
              <w:t>Because of our PP strategy, in 23 24 the gap had reduced to 6%</w:t>
            </w:r>
          </w:p>
          <w:p w:rsidR="00095DC9" w:rsidRDefault="00D72BCF">
            <w:pPr>
              <w:pBdr>
                <w:top w:val="nil"/>
                <w:left w:val="nil"/>
                <w:bottom w:val="nil"/>
                <w:right w:val="nil"/>
                <w:between w:val="nil"/>
              </w:pBdr>
              <w:spacing w:before="60" w:after="60" w:line="240" w:lineRule="auto"/>
              <w:ind w:left="57" w:right="57"/>
              <w:rPr>
                <w:color w:val="000000"/>
                <w:sz w:val="20"/>
                <w:szCs w:val="20"/>
              </w:rPr>
            </w:pPr>
            <w:r>
              <w:rPr>
                <w:color w:val="000000"/>
                <w:sz w:val="20"/>
                <w:szCs w:val="20"/>
              </w:rPr>
              <w:t xml:space="preserve">In 23 24 33% of disadvantaged pupils were ‘persistently absent’ compared to 13% of their peers during that period. </w:t>
            </w:r>
          </w:p>
          <w:p w:rsidR="00095DC9" w:rsidRDefault="00D72BCF">
            <w:pPr>
              <w:pBdr>
                <w:top w:val="nil"/>
                <w:left w:val="nil"/>
                <w:bottom w:val="nil"/>
                <w:right w:val="nil"/>
                <w:between w:val="nil"/>
              </w:pBdr>
              <w:spacing w:before="60" w:after="60" w:line="240" w:lineRule="auto"/>
              <w:ind w:left="57" w:right="57"/>
              <w:rPr>
                <w:color w:val="000000"/>
                <w:sz w:val="20"/>
                <w:szCs w:val="20"/>
              </w:rPr>
            </w:pPr>
            <w:r>
              <w:rPr>
                <w:color w:val="000000"/>
                <w:sz w:val="20"/>
                <w:szCs w:val="20"/>
              </w:rPr>
              <w:t>In 23 24, because of the strategy, 24% of disadvantaged pupils were persisten</w:t>
            </w:r>
            <w:r>
              <w:rPr>
                <w:color w:val="000000"/>
                <w:sz w:val="20"/>
                <w:szCs w:val="20"/>
              </w:rPr>
              <w:t>tly absent as compared to 12% of their non disadvantaged peers. A further closing of the gap.</w:t>
            </w:r>
          </w:p>
          <w:p w:rsidR="00095DC9" w:rsidRDefault="00D72BCF">
            <w:pPr>
              <w:pBdr>
                <w:top w:val="nil"/>
                <w:left w:val="nil"/>
                <w:bottom w:val="nil"/>
                <w:right w:val="nil"/>
                <w:between w:val="nil"/>
              </w:pBdr>
              <w:spacing w:before="60" w:after="60" w:line="240" w:lineRule="auto"/>
              <w:ind w:right="57"/>
              <w:rPr>
                <w:sz w:val="18"/>
                <w:szCs w:val="18"/>
              </w:rPr>
            </w:pPr>
            <w:r>
              <w:rPr>
                <w:color w:val="000000"/>
                <w:sz w:val="20"/>
                <w:szCs w:val="20"/>
              </w:rPr>
              <w:t xml:space="preserve"> Our assessments and observations indicate that absenteeism is negatively impacting disadvantaged pupils’ progress. So this remains a key challenge.</w:t>
            </w:r>
          </w:p>
        </w:tc>
      </w:tr>
    </w:tbl>
    <w:p w:rsidR="00095DC9" w:rsidRDefault="00D72BCF">
      <w:pPr>
        <w:pStyle w:val="Heading2"/>
        <w:spacing w:before="600"/>
        <w:rPr>
          <w:sz w:val="24"/>
          <w:szCs w:val="24"/>
        </w:rPr>
      </w:pPr>
      <w:bookmarkStart w:id="3" w:name="_1fob9te" w:colFirst="0" w:colLast="0"/>
      <w:bookmarkEnd w:id="3"/>
      <w:r>
        <w:rPr>
          <w:sz w:val="24"/>
          <w:szCs w:val="24"/>
        </w:rPr>
        <w:t xml:space="preserve">Intended outcomes </w:t>
      </w:r>
    </w:p>
    <w:p w:rsidR="00095DC9" w:rsidRDefault="00D72BCF">
      <w:pPr>
        <w:rPr>
          <w:sz w:val="20"/>
          <w:szCs w:val="20"/>
        </w:rPr>
      </w:pPr>
      <w:r>
        <w:rPr>
          <w:color w:val="000000"/>
          <w:sz w:val="20"/>
          <w:szCs w:val="20"/>
        </w:rPr>
        <w:t xml:space="preserve">This explains the outcomes we are aiming for </w:t>
      </w:r>
      <w:r>
        <w:rPr>
          <w:b/>
          <w:color w:val="000000"/>
          <w:sz w:val="20"/>
          <w:szCs w:val="20"/>
        </w:rPr>
        <w:t>by the end of our current strategy plan</w:t>
      </w:r>
      <w:r>
        <w:rPr>
          <w:color w:val="000000"/>
          <w:sz w:val="20"/>
          <w:szCs w:val="20"/>
        </w:rPr>
        <w:t>, and how we will measure whether they have been achieved.</w:t>
      </w:r>
    </w:p>
    <w:tbl>
      <w:tblPr>
        <w:tblStyle w:val="a3"/>
        <w:tblW w:w="10349" w:type="dxa"/>
        <w:tblInd w:w="-431" w:type="dxa"/>
        <w:tblLayout w:type="fixed"/>
        <w:tblLook w:val="0400" w:firstRow="0" w:lastRow="0" w:firstColumn="0" w:lastColumn="0" w:noHBand="0" w:noVBand="1"/>
      </w:tblPr>
      <w:tblGrid>
        <w:gridCol w:w="3828"/>
        <w:gridCol w:w="6521"/>
      </w:tblGrid>
      <w:tr w:rsidR="00095DC9">
        <w:tc>
          <w:tcPr>
            <w:tcW w:w="38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sz w:val="20"/>
                <w:szCs w:val="20"/>
              </w:rPr>
            </w:pPr>
            <w:r>
              <w:rPr>
                <w:b/>
                <w:sz w:val="20"/>
                <w:szCs w:val="20"/>
              </w:rPr>
              <w:t>Intended outcome</w:t>
            </w:r>
          </w:p>
        </w:tc>
        <w:tc>
          <w:tcPr>
            <w:tcW w:w="652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sz w:val="20"/>
                <w:szCs w:val="20"/>
              </w:rPr>
            </w:pPr>
            <w:r>
              <w:rPr>
                <w:b/>
                <w:sz w:val="20"/>
                <w:szCs w:val="20"/>
              </w:rPr>
              <w:t>Success criteria</w:t>
            </w:r>
          </w:p>
        </w:tc>
      </w:tr>
      <w:tr w:rsidR="00095DC9">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color w:val="000000"/>
                <w:sz w:val="18"/>
                <w:szCs w:val="18"/>
              </w:rPr>
              <w:t xml:space="preserve">Improved oral language skills and vocabulary among disadvantaged pupils.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color w:val="000000"/>
                <w:sz w:val="18"/>
                <w:szCs w:val="18"/>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095DC9">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color w:val="000000"/>
                <w:sz w:val="18"/>
                <w:szCs w:val="18"/>
              </w:rPr>
              <w:t>Impro</w:t>
            </w:r>
            <w:r>
              <w:rPr>
                <w:color w:val="000000"/>
                <w:sz w:val="18"/>
                <w:szCs w:val="18"/>
              </w:rPr>
              <w:t xml:space="preserve">ved reading attainment among disadvantaged pupils.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color w:val="000000"/>
                <w:sz w:val="18"/>
                <w:szCs w:val="18"/>
              </w:rPr>
              <w:t>KS2 reading outcomes in 2024/25 show that more than 65% of disadvantaged pupils met the expected standard.</w:t>
            </w:r>
          </w:p>
        </w:tc>
      </w:tr>
      <w:tr w:rsidR="00095DC9">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color w:val="000000"/>
                <w:sz w:val="18"/>
                <w:szCs w:val="18"/>
              </w:rPr>
              <w:t xml:space="preserve">Improved maths attainment for disadvantaged pupils at the end of KS2.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120" w:line="240" w:lineRule="auto"/>
              <w:ind w:left="57" w:right="57"/>
              <w:rPr>
                <w:color w:val="000000"/>
                <w:sz w:val="18"/>
                <w:szCs w:val="18"/>
              </w:rPr>
            </w:pPr>
            <w:r>
              <w:rPr>
                <w:color w:val="000000"/>
                <w:sz w:val="18"/>
                <w:szCs w:val="18"/>
              </w:rPr>
              <w:t>KS2 maths outcomes in 2024/25 show that more than 65% of disadvantaged pupils met the expected standard.</w:t>
            </w:r>
          </w:p>
          <w:p w:rsidR="00095DC9" w:rsidRDefault="00095DC9">
            <w:pPr>
              <w:pBdr>
                <w:top w:val="nil"/>
                <w:left w:val="nil"/>
                <w:bottom w:val="nil"/>
                <w:right w:val="nil"/>
                <w:between w:val="nil"/>
              </w:pBdr>
              <w:spacing w:before="60" w:after="60" w:line="240" w:lineRule="auto"/>
              <w:ind w:left="57" w:right="57"/>
              <w:rPr>
                <w:sz w:val="18"/>
                <w:szCs w:val="18"/>
              </w:rPr>
            </w:pPr>
          </w:p>
        </w:tc>
      </w:tr>
      <w:tr w:rsidR="00095DC9">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color w:val="000000"/>
                <w:sz w:val="18"/>
                <w:szCs w:val="18"/>
              </w:rPr>
              <w:t>To achieve and sustain improved attendance for all pupils, particularly our disadvantaged pupils.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60" w:line="240" w:lineRule="auto"/>
              <w:ind w:left="57" w:right="57"/>
              <w:rPr>
                <w:color w:val="000000"/>
                <w:sz w:val="18"/>
                <w:szCs w:val="18"/>
              </w:rPr>
            </w:pPr>
            <w:r>
              <w:rPr>
                <w:color w:val="000000"/>
                <w:sz w:val="18"/>
                <w:szCs w:val="18"/>
              </w:rPr>
              <w:t>Sustained high attendance by 2024/25 demonstrated by:</w:t>
            </w:r>
          </w:p>
          <w:p w:rsidR="00095DC9" w:rsidRDefault="00D72BCF">
            <w:pPr>
              <w:numPr>
                <w:ilvl w:val="0"/>
                <w:numId w:val="3"/>
              </w:numPr>
              <w:pBdr>
                <w:top w:val="nil"/>
                <w:left w:val="nil"/>
                <w:bottom w:val="nil"/>
                <w:right w:val="nil"/>
                <w:between w:val="nil"/>
              </w:pBdr>
              <w:spacing w:before="60" w:after="60" w:line="240" w:lineRule="auto"/>
              <w:ind w:right="57"/>
              <w:rPr>
                <w:color w:val="000000"/>
                <w:sz w:val="18"/>
                <w:szCs w:val="18"/>
              </w:rPr>
            </w:pPr>
            <w:r>
              <w:rPr>
                <w:color w:val="000000"/>
                <w:sz w:val="18"/>
                <w:szCs w:val="18"/>
              </w:rPr>
              <w:t>the overall unauthorised absence rate for all pupils being no more than 5%, and the attendance gap between disadvantaged pupils and their non-disadvantaged peers being reduced by a further 3%.</w:t>
            </w:r>
          </w:p>
          <w:p w:rsidR="00095DC9" w:rsidRDefault="00D72BCF">
            <w:pPr>
              <w:pBdr>
                <w:top w:val="nil"/>
                <w:left w:val="nil"/>
                <w:bottom w:val="nil"/>
                <w:right w:val="nil"/>
                <w:between w:val="nil"/>
              </w:pBdr>
              <w:spacing w:before="60" w:after="60" w:line="240" w:lineRule="auto"/>
              <w:ind w:left="57" w:right="57"/>
              <w:rPr>
                <w:sz w:val="18"/>
                <w:szCs w:val="18"/>
              </w:rPr>
            </w:pPr>
            <w:r>
              <w:rPr>
                <w:color w:val="000000"/>
                <w:sz w:val="18"/>
                <w:szCs w:val="18"/>
              </w:rPr>
              <w:t>the perce</w:t>
            </w:r>
            <w:r>
              <w:rPr>
                <w:color w:val="000000"/>
                <w:sz w:val="18"/>
                <w:szCs w:val="18"/>
              </w:rPr>
              <w:t>ntage of all pupils who are persistently absent being below 15% and the figure among disadvantaged pupils being no more than 8% higher than their peers.</w:t>
            </w:r>
          </w:p>
        </w:tc>
      </w:tr>
    </w:tbl>
    <w:p w:rsidR="00095DC9" w:rsidRDefault="00095DC9">
      <w:pPr>
        <w:pStyle w:val="Heading2"/>
      </w:pPr>
    </w:p>
    <w:p w:rsidR="00095DC9" w:rsidRDefault="00D72BCF">
      <w:pPr>
        <w:pStyle w:val="Heading2"/>
      </w:pPr>
      <w:r>
        <w:t>Activity in this academic year</w:t>
      </w:r>
    </w:p>
    <w:p w:rsidR="00095DC9" w:rsidRDefault="00D72BCF">
      <w:pPr>
        <w:spacing w:after="480"/>
      </w:pPr>
      <w:r>
        <w:t xml:space="preserve">This details how we intend to spend our pupil premium (and recovery premium) funding </w:t>
      </w:r>
      <w:r>
        <w:rPr>
          <w:b/>
        </w:rPr>
        <w:t>this academic year</w:t>
      </w:r>
      <w:r>
        <w:t xml:space="preserve"> to address the challenges listed above.</w:t>
      </w:r>
    </w:p>
    <w:p w:rsidR="00095DC9" w:rsidRDefault="00D72BCF">
      <w:pPr>
        <w:pStyle w:val="Heading3"/>
      </w:pPr>
      <w:r>
        <w:t>Teaching (for example, CPD, recruitment and retention)</w:t>
      </w:r>
    </w:p>
    <w:p w:rsidR="00095DC9" w:rsidRDefault="00D72BCF">
      <w:pPr>
        <w:rPr>
          <w:b/>
        </w:rPr>
      </w:pPr>
      <w:r>
        <w:t xml:space="preserve">Budgeted cost: </w:t>
      </w:r>
      <w:r>
        <w:rPr>
          <w:b/>
        </w:rPr>
        <w:t>£ 75,372.70</w:t>
      </w:r>
    </w:p>
    <w:tbl>
      <w:tblPr>
        <w:tblStyle w:val="a4"/>
        <w:tblW w:w="10207" w:type="dxa"/>
        <w:tblInd w:w="-431" w:type="dxa"/>
        <w:tblLayout w:type="fixed"/>
        <w:tblLook w:val="0400" w:firstRow="0" w:lastRow="0" w:firstColumn="0" w:lastColumn="0" w:noHBand="0" w:noVBand="1"/>
      </w:tblPr>
      <w:tblGrid>
        <w:gridCol w:w="3261"/>
        <w:gridCol w:w="4112"/>
        <w:gridCol w:w="2834"/>
      </w:tblGrid>
      <w:tr w:rsidR="00095DC9">
        <w:tc>
          <w:tcPr>
            <w:tcW w:w="326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sz w:val="18"/>
                <w:szCs w:val="18"/>
              </w:rPr>
            </w:pPr>
            <w:r>
              <w:rPr>
                <w:b/>
                <w:sz w:val="18"/>
                <w:szCs w:val="18"/>
              </w:rPr>
              <w:t>Activity</w:t>
            </w:r>
          </w:p>
        </w:tc>
        <w:tc>
          <w:tcPr>
            <w:tcW w:w="411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sz w:val="18"/>
                <w:szCs w:val="18"/>
              </w:rPr>
            </w:pPr>
            <w:r>
              <w:rPr>
                <w:b/>
                <w:sz w:val="18"/>
                <w:szCs w:val="18"/>
              </w:rPr>
              <w:t>Evidence that support</w:t>
            </w:r>
            <w:r>
              <w:rPr>
                <w:b/>
                <w:sz w:val="18"/>
                <w:szCs w:val="18"/>
              </w:rPr>
              <w:t>s this approach</w:t>
            </w:r>
          </w:p>
        </w:tc>
        <w:tc>
          <w:tcPr>
            <w:tcW w:w="283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t>Challenge number(s) addressed</w:t>
            </w:r>
          </w:p>
        </w:tc>
      </w:tr>
      <w:tr w:rsidR="00095DC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line="240" w:lineRule="auto"/>
              <w:ind w:left="29" w:right="57"/>
              <w:rPr>
                <w:color w:val="222222"/>
                <w:sz w:val="18"/>
                <w:szCs w:val="18"/>
                <w:highlight w:val="white"/>
              </w:rPr>
            </w:pPr>
            <w:r>
              <w:rPr>
                <w:color w:val="000000"/>
                <w:sz w:val="18"/>
                <w:szCs w:val="18"/>
              </w:rPr>
              <w:t xml:space="preserve">Whole staff training on The sequence of learning, </w:t>
            </w:r>
            <w:r>
              <w:rPr>
                <w:color w:val="222222"/>
                <w:sz w:val="18"/>
                <w:szCs w:val="18"/>
                <w:highlight w:val="white"/>
              </w:rPr>
              <w:t xml:space="preserve">cognitive overload and the importance of prior knowledge </w:t>
            </w:r>
          </w:p>
          <w:p w:rsidR="00095DC9" w:rsidRDefault="00D72BCF">
            <w:pPr>
              <w:pBdr>
                <w:top w:val="nil"/>
                <w:left w:val="nil"/>
                <w:bottom w:val="nil"/>
                <w:right w:val="nil"/>
                <w:between w:val="nil"/>
              </w:pBdr>
              <w:spacing w:before="60" w:line="240" w:lineRule="auto"/>
              <w:ind w:left="29" w:right="57"/>
              <w:rPr>
                <w:color w:val="000000"/>
                <w:sz w:val="18"/>
                <w:szCs w:val="18"/>
              </w:rPr>
            </w:pPr>
            <w:r>
              <w:rPr>
                <w:color w:val="000000"/>
                <w:sz w:val="18"/>
                <w:szCs w:val="18"/>
              </w:rPr>
              <w:t>(£600)</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18"/>
                <w:szCs w:val="18"/>
              </w:rPr>
            </w:pPr>
            <w:r>
              <w:rPr>
                <w:sz w:val="18"/>
                <w:szCs w:val="18"/>
              </w:rPr>
              <w:t>Research shows that if we know how they process and retain information, we can adapt our approach to teaching accordingly and in turn, increase effectiveness.</w:t>
            </w:r>
          </w:p>
          <w:p w:rsidR="00095DC9" w:rsidRDefault="00D72BCF">
            <w:pPr>
              <w:pBdr>
                <w:top w:val="nil"/>
                <w:left w:val="nil"/>
                <w:bottom w:val="nil"/>
                <w:right w:val="nil"/>
                <w:between w:val="nil"/>
              </w:pBdr>
              <w:spacing w:before="60" w:after="60" w:line="240" w:lineRule="auto"/>
              <w:ind w:left="57" w:right="57"/>
              <w:rPr>
                <w:color w:val="000000"/>
                <w:sz w:val="18"/>
                <w:szCs w:val="18"/>
              </w:rPr>
            </w:pPr>
            <w:hyperlink r:id="rId7">
              <w:r>
                <w:rPr>
                  <w:color w:val="0000FF"/>
                  <w:sz w:val="18"/>
                  <w:szCs w:val="18"/>
                  <w:u w:val="single"/>
                </w:rPr>
                <w:t>Cognitive Science Approaches EEF</w:t>
              </w:r>
            </w:hyperlink>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rPr>
            </w:pPr>
            <w:r>
              <w:rPr>
                <w:color w:val="000000"/>
              </w:rPr>
              <w:t>1 2 3</w:t>
            </w:r>
          </w:p>
        </w:tc>
      </w:tr>
      <w:tr w:rsidR="00095DC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line="240" w:lineRule="auto"/>
              <w:ind w:left="29" w:right="57"/>
              <w:rPr>
                <w:color w:val="000000"/>
                <w:sz w:val="18"/>
                <w:szCs w:val="18"/>
              </w:rPr>
            </w:pPr>
            <w:r>
              <w:rPr>
                <w:color w:val="000000"/>
                <w:sz w:val="18"/>
                <w:szCs w:val="18"/>
              </w:rPr>
              <w:t>Purchase of standardised diagnostic assessments:</w:t>
            </w:r>
          </w:p>
          <w:p w:rsidR="00095DC9" w:rsidRDefault="00D72BCF">
            <w:pPr>
              <w:pBdr>
                <w:top w:val="nil"/>
                <w:left w:val="nil"/>
                <w:bottom w:val="nil"/>
                <w:right w:val="nil"/>
                <w:between w:val="nil"/>
              </w:pBdr>
              <w:spacing w:before="60" w:line="240" w:lineRule="auto"/>
              <w:ind w:left="29" w:right="57"/>
              <w:rPr>
                <w:color w:val="000000"/>
                <w:sz w:val="18"/>
                <w:szCs w:val="18"/>
              </w:rPr>
            </w:pPr>
            <w:r>
              <w:rPr>
                <w:i/>
                <w:color w:val="000000"/>
                <w:sz w:val="18"/>
                <w:szCs w:val="18"/>
              </w:rPr>
              <w:t>Wellcom, Rising Stars Maths and English, Oxford Owl online portal subscription</w:t>
            </w:r>
            <w:r>
              <w:rPr>
                <w:color w:val="000000"/>
                <w:sz w:val="18"/>
                <w:szCs w:val="18"/>
              </w:rPr>
              <w:t xml:space="preserve"> (RWI assessments)</w:t>
            </w:r>
          </w:p>
          <w:p w:rsidR="00095DC9" w:rsidRDefault="00095DC9">
            <w:pPr>
              <w:pBdr>
                <w:top w:val="nil"/>
                <w:left w:val="nil"/>
                <w:bottom w:val="nil"/>
                <w:right w:val="nil"/>
                <w:between w:val="nil"/>
              </w:pBdr>
              <w:spacing w:before="60" w:line="240" w:lineRule="auto"/>
              <w:ind w:left="29" w:right="57"/>
              <w:rPr>
                <w:color w:val="000000"/>
                <w:sz w:val="18"/>
                <w:szCs w:val="18"/>
                <w:highlight w:val="yellow"/>
              </w:rPr>
            </w:pPr>
          </w:p>
          <w:p w:rsidR="00095DC9" w:rsidRDefault="00D72BCF">
            <w:pPr>
              <w:pBdr>
                <w:top w:val="nil"/>
                <w:left w:val="nil"/>
                <w:bottom w:val="nil"/>
                <w:right w:val="nil"/>
                <w:between w:val="nil"/>
              </w:pBdr>
              <w:spacing w:before="60" w:line="240" w:lineRule="auto"/>
              <w:ind w:left="29" w:right="57"/>
              <w:rPr>
                <w:color w:val="000000"/>
                <w:sz w:val="18"/>
                <w:szCs w:val="18"/>
                <w:highlight w:val="white"/>
              </w:rPr>
            </w:pPr>
            <w:r>
              <w:rPr>
                <w:color w:val="000000"/>
                <w:sz w:val="18"/>
                <w:szCs w:val="18"/>
                <w:highlight w:val="white"/>
              </w:rPr>
              <w:t>Oxford Owl (£549)</w:t>
            </w:r>
          </w:p>
          <w:p w:rsidR="00095DC9" w:rsidRDefault="00D72BCF">
            <w:pPr>
              <w:pBdr>
                <w:top w:val="nil"/>
                <w:left w:val="nil"/>
                <w:bottom w:val="nil"/>
                <w:right w:val="nil"/>
                <w:between w:val="nil"/>
              </w:pBdr>
              <w:spacing w:before="60" w:line="240" w:lineRule="auto"/>
              <w:ind w:left="29" w:right="57"/>
              <w:rPr>
                <w:color w:val="000000"/>
                <w:sz w:val="18"/>
                <w:szCs w:val="18"/>
              </w:rPr>
            </w:pPr>
            <w:r>
              <w:rPr>
                <w:color w:val="000000"/>
                <w:sz w:val="18"/>
                <w:szCs w:val="18"/>
                <w:highlight w:val="white"/>
              </w:rPr>
              <w:t>Wellcom (</w:t>
            </w:r>
            <w:r>
              <w:rPr>
                <w:color w:val="000000"/>
                <w:sz w:val="18"/>
                <w:szCs w:val="18"/>
              </w:rPr>
              <w:t>£194)</w:t>
            </w:r>
          </w:p>
          <w:p w:rsidR="00095DC9" w:rsidRDefault="00D72BCF">
            <w:pPr>
              <w:pBdr>
                <w:top w:val="nil"/>
                <w:left w:val="nil"/>
                <w:bottom w:val="nil"/>
                <w:right w:val="nil"/>
                <w:between w:val="nil"/>
              </w:pBdr>
              <w:spacing w:before="60" w:line="240" w:lineRule="auto"/>
              <w:ind w:left="29" w:right="57"/>
              <w:rPr>
                <w:color w:val="000000"/>
                <w:sz w:val="18"/>
                <w:szCs w:val="18"/>
                <w:highlight w:val="white"/>
              </w:rPr>
            </w:pPr>
            <w:r>
              <w:rPr>
                <w:color w:val="000000"/>
                <w:sz w:val="18"/>
                <w:szCs w:val="18"/>
                <w:highlight w:val="white"/>
              </w:rPr>
              <w:t>Hodder (Rising Star) Termly Assessments (£5,283.50)</w:t>
            </w:r>
          </w:p>
          <w:p w:rsidR="00095DC9" w:rsidRDefault="00095DC9">
            <w:pPr>
              <w:pBdr>
                <w:top w:val="nil"/>
                <w:left w:val="nil"/>
                <w:bottom w:val="nil"/>
                <w:right w:val="nil"/>
                <w:between w:val="nil"/>
              </w:pBdr>
              <w:spacing w:before="60" w:line="240" w:lineRule="auto"/>
              <w:ind w:left="29" w:right="57"/>
              <w:rPr>
                <w:color w:val="000000"/>
                <w:sz w:val="18"/>
                <w:szCs w:val="18"/>
                <w:highlight w:val="yellow"/>
              </w:rPr>
            </w:pP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Training for staff to ensure assessments are interpreted and administered correctly. 4 days TA 2</w:t>
            </w:r>
          </w:p>
          <w:p w:rsidR="00095DC9" w:rsidRDefault="00D72BCF">
            <w:pPr>
              <w:pBdr>
                <w:top w:val="nil"/>
                <w:left w:val="nil"/>
                <w:bottom w:val="nil"/>
                <w:right w:val="nil"/>
                <w:between w:val="nil"/>
              </w:pBdr>
              <w:spacing w:before="60" w:after="60" w:line="240" w:lineRule="auto"/>
              <w:ind w:left="57" w:right="57"/>
              <w:rPr>
                <w:sz w:val="18"/>
                <w:szCs w:val="18"/>
              </w:rPr>
            </w:pPr>
            <w:bookmarkStart w:id="4" w:name="_3znysh7" w:colFirst="0" w:colLast="0"/>
            <w:bookmarkEnd w:id="4"/>
            <w:r>
              <w:rPr>
                <w:b/>
                <w:color w:val="000000"/>
                <w:sz w:val="18"/>
                <w:szCs w:val="18"/>
              </w:rPr>
              <w:t>(£447.52)</w:t>
            </w:r>
            <w:r>
              <w:rPr>
                <w:color w:val="000000"/>
                <w:sz w:val="18"/>
                <w:szCs w:val="18"/>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When used effectively, diagnostic assessments can indicate areas for development for individual pupils, or across classes and year groups:</w:t>
            </w:r>
          </w:p>
          <w:p w:rsidR="00095DC9" w:rsidRDefault="00D72BCF">
            <w:pPr>
              <w:pBdr>
                <w:top w:val="nil"/>
                <w:left w:val="nil"/>
                <w:bottom w:val="nil"/>
                <w:right w:val="nil"/>
                <w:between w:val="nil"/>
              </w:pBdr>
              <w:spacing w:before="60" w:after="60" w:line="240" w:lineRule="auto"/>
              <w:ind w:left="57" w:right="57"/>
              <w:rPr>
                <w:sz w:val="18"/>
                <w:szCs w:val="18"/>
              </w:rPr>
            </w:pPr>
            <w:hyperlink r:id="rId8">
              <w:r>
                <w:rPr>
                  <w:color w:val="0000FF"/>
                  <w:sz w:val="18"/>
                  <w:szCs w:val="18"/>
                  <w:u w:val="single"/>
                </w:rPr>
                <w:t>Diagnostic assessment | EEF</w:t>
              </w:r>
            </w:hyperlink>
            <w:r>
              <w:rPr>
                <w:color w:val="0070C0"/>
                <w:sz w:val="18"/>
                <w:szCs w:val="18"/>
                <w:u w:val="single"/>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bookmarkStart w:id="5" w:name="_2et92p0" w:colFirst="0" w:colLast="0"/>
            <w:bookmarkEnd w:id="5"/>
            <w:r>
              <w:rPr>
                <w:color w:val="000000"/>
              </w:rPr>
              <w:t xml:space="preserve">1, 2, 3, </w:t>
            </w:r>
          </w:p>
        </w:tc>
      </w:tr>
      <w:tr w:rsidR="00095DC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Embedding dialogic activities across the school curriculum, particularly in the Early Years. These can support pupils to articulate key ideas, consolidate understanding and extend vocabulary. We will purchase resources and fund ongoing teacher training and</w:t>
            </w:r>
            <w:r>
              <w:rPr>
                <w:color w:val="000000"/>
                <w:sz w:val="18"/>
                <w:szCs w:val="18"/>
              </w:rPr>
              <w:t xml:space="preserve"> release time. </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 xml:space="preserve"> =£17,500 EYFS + £5,776 KS1</w:t>
            </w:r>
          </w:p>
          <w:p w:rsidR="00095DC9" w:rsidRDefault="00D72BCF">
            <w:pPr>
              <w:pBdr>
                <w:top w:val="nil"/>
                <w:left w:val="nil"/>
                <w:bottom w:val="nil"/>
                <w:right w:val="nil"/>
                <w:between w:val="nil"/>
              </w:pBdr>
              <w:spacing w:before="60" w:after="60" w:line="240" w:lineRule="auto"/>
              <w:ind w:left="57" w:right="57"/>
              <w:rPr>
                <w:b/>
                <w:color w:val="000000"/>
                <w:sz w:val="18"/>
                <w:szCs w:val="18"/>
                <w:highlight w:val="white"/>
              </w:rPr>
            </w:pPr>
            <w:r>
              <w:rPr>
                <w:b/>
                <w:color w:val="000000"/>
                <w:sz w:val="18"/>
                <w:szCs w:val="18"/>
                <w:highlight w:val="white"/>
              </w:rPr>
              <w:t>(£23,276)</w:t>
            </w:r>
          </w:p>
          <w:p w:rsidR="00095DC9" w:rsidRDefault="00D72BCF">
            <w:pPr>
              <w:pBdr>
                <w:top w:val="nil"/>
                <w:left w:val="nil"/>
                <w:bottom w:val="nil"/>
                <w:right w:val="nil"/>
                <w:between w:val="nil"/>
              </w:pBdr>
              <w:spacing w:before="60" w:after="60" w:line="240" w:lineRule="auto"/>
              <w:ind w:left="57" w:right="57"/>
              <w:rPr>
                <w:b/>
                <w:color w:val="000000"/>
                <w:sz w:val="18"/>
                <w:szCs w:val="18"/>
                <w:highlight w:val="white"/>
              </w:rPr>
            </w:pPr>
            <w:r>
              <w:rPr>
                <w:b/>
                <w:color w:val="000000"/>
                <w:sz w:val="18"/>
                <w:szCs w:val="18"/>
                <w:highlight w:val="white"/>
              </w:rPr>
              <w:t>Welcomm intervention</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60" w:line="240" w:lineRule="auto"/>
              <w:ind w:left="57" w:right="57"/>
              <w:rPr>
                <w:color w:val="000000"/>
                <w:sz w:val="18"/>
                <w:szCs w:val="18"/>
              </w:rPr>
            </w:pPr>
            <w:r>
              <w:rPr>
                <w:color w:val="000000"/>
                <w:sz w:val="18"/>
                <w:szCs w:val="18"/>
              </w:rPr>
              <w:t>There is a strong evidence base that suggests oral language interventions, including dialogic activities such as high-quality classroom discussion, are inexpensive to implement with high impacts on reading:</w:t>
            </w:r>
          </w:p>
          <w:p w:rsidR="00095DC9" w:rsidRDefault="00D72BCF">
            <w:pPr>
              <w:pBdr>
                <w:top w:val="nil"/>
                <w:left w:val="nil"/>
                <w:bottom w:val="nil"/>
                <w:right w:val="nil"/>
                <w:between w:val="nil"/>
              </w:pBdr>
              <w:spacing w:before="60" w:after="60" w:line="240" w:lineRule="auto"/>
              <w:ind w:left="57" w:right="57"/>
              <w:rPr>
                <w:sz w:val="18"/>
                <w:szCs w:val="18"/>
              </w:rPr>
            </w:pPr>
            <w:hyperlink r:id="rId9">
              <w:r>
                <w:rPr>
                  <w:color w:val="0000FF"/>
                  <w:sz w:val="18"/>
                  <w:szCs w:val="18"/>
                  <w:u w:val="single"/>
                </w:rPr>
                <w:t>Oral language interventions | Teaching and Learning Toolkit | EEF</w:t>
              </w:r>
            </w:hyperlink>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r>
              <w:rPr>
                <w:sz w:val="22"/>
                <w:szCs w:val="22"/>
              </w:rPr>
              <w:t>1</w:t>
            </w:r>
          </w:p>
        </w:tc>
      </w:tr>
      <w:tr w:rsidR="00095DC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Invest in ongoing consultancy input for our SSP scheme RWI</w:t>
            </w:r>
          </w:p>
          <w:p w:rsidR="00095DC9" w:rsidRDefault="00095DC9">
            <w:pPr>
              <w:pBdr>
                <w:top w:val="nil"/>
                <w:left w:val="nil"/>
                <w:bottom w:val="nil"/>
                <w:right w:val="nil"/>
                <w:between w:val="nil"/>
              </w:pBdr>
              <w:spacing w:before="60" w:after="60" w:line="240" w:lineRule="auto"/>
              <w:ind w:left="57" w:right="57"/>
              <w:rPr>
                <w:color w:val="000000"/>
                <w:sz w:val="18"/>
                <w:szCs w:val="18"/>
              </w:rPr>
            </w:pP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RWI development days 6 days AHT salary</w:t>
            </w:r>
          </w:p>
          <w:p w:rsidR="00095DC9" w:rsidRDefault="00D72BCF">
            <w:pPr>
              <w:spacing w:before="60" w:after="60" w:line="240" w:lineRule="auto"/>
              <w:ind w:left="57" w:right="57"/>
              <w:rPr>
                <w:color w:val="000000"/>
                <w:sz w:val="18"/>
                <w:szCs w:val="18"/>
                <w:highlight w:val="white"/>
              </w:rPr>
            </w:pPr>
            <w:r>
              <w:rPr>
                <w:color w:val="000000"/>
                <w:sz w:val="18"/>
                <w:szCs w:val="18"/>
                <w:highlight w:val="white"/>
              </w:rPr>
              <w:t xml:space="preserve">(£2,415)  </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lastRenderedPageBreak/>
              <w:t>Ruth Miskin RWI Online Training Subscription</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(£900)</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RWI Development days</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(£1050)</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RWI resources</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(£2,746.10)</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 xml:space="preserve">We will fund teacher release time to embed key elements of guidance in school. </w:t>
            </w:r>
            <w:r>
              <w:rPr>
                <w:color w:val="000000"/>
                <w:sz w:val="18"/>
                <w:szCs w:val="18"/>
                <w:highlight w:val="white"/>
              </w:rPr>
              <w:t>38 days AHT salary</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(£15,297)</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lastRenderedPageBreak/>
              <w:t>Phonics approaches have a stro</w:t>
            </w:r>
            <w:r>
              <w:rPr>
                <w:color w:val="000000"/>
                <w:sz w:val="18"/>
                <w:szCs w:val="18"/>
              </w:rPr>
              <w:t xml:space="preserve">ng evidence base that indicates a positive impact on the accuracy of word reading, particularly for disadvantaged pupils: </w:t>
            </w:r>
          </w:p>
          <w:p w:rsidR="00095DC9" w:rsidRDefault="00D72BCF">
            <w:pPr>
              <w:spacing w:before="60" w:after="60" w:line="240" w:lineRule="auto"/>
              <w:ind w:left="57" w:right="57"/>
              <w:rPr>
                <w:color w:val="000000"/>
                <w:sz w:val="18"/>
                <w:szCs w:val="18"/>
              </w:rPr>
            </w:pPr>
            <w:hyperlink r:id="rId10">
              <w:r>
                <w:rPr>
                  <w:color w:val="0000FF"/>
                  <w:sz w:val="18"/>
                  <w:szCs w:val="18"/>
                  <w:u w:val="single"/>
                </w:rPr>
                <w:t>Phonics | Teachi</w:t>
              </w:r>
              <w:r>
                <w:rPr>
                  <w:color w:val="0000FF"/>
                  <w:sz w:val="18"/>
                  <w:szCs w:val="18"/>
                  <w:u w:val="single"/>
                </w:rPr>
                <w:t>ng and Learning Toolkit | EEF</w:t>
              </w:r>
            </w:hyperlink>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r>
              <w:rPr>
                <w:sz w:val="22"/>
                <w:szCs w:val="22"/>
              </w:rPr>
              <w:t>2</w:t>
            </w:r>
          </w:p>
        </w:tc>
      </w:tr>
      <w:tr w:rsidR="00095DC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Development of the Early Writing Curriculum in EYFS</w:t>
            </w:r>
          </w:p>
          <w:p w:rsidR="00095DC9" w:rsidRDefault="00095DC9">
            <w:pPr>
              <w:pBdr>
                <w:top w:val="nil"/>
                <w:left w:val="nil"/>
                <w:bottom w:val="nil"/>
                <w:right w:val="nil"/>
                <w:between w:val="nil"/>
              </w:pBdr>
              <w:spacing w:before="60" w:after="60" w:line="240" w:lineRule="auto"/>
              <w:ind w:left="57" w:right="57"/>
              <w:rPr>
                <w:color w:val="000000"/>
                <w:sz w:val="18"/>
                <w:szCs w:val="18"/>
              </w:rPr>
            </w:pP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EYFS Consultancy Writing Review and Development</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(£575)</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EY2P scheme to be purchased and training attended.</w:t>
            </w:r>
          </w:p>
          <w:p w:rsidR="00095DC9" w:rsidRDefault="00D72BCF">
            <w:pPr>
              <w:spacing w:before="60" w:after="60" w:line="240" w:lineRule="auto"/>
              <w:ind w:left="57" w:right="57"/>
              <w:rPr>
                <w:color w:val="000000"/>
                <w:sz w:val="18"/>
                <w:szCs w:val="18"/>
              </w:rPr>
            </w:pPr>
            <w:r>
              <w:rPr>
                <w:color w:val="000000"/>
                <w:sz w:val="18"/>
                <w:szCs w:val="18"/>
              </w:rPr>
              <w:t>(£1,525)</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Copies of the relevant books to be bought for the classrooms.</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(£1,000)</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095DC9">
            <w:pPr>
              <w:pBdr>
                <w:top w:val="nil"/>
                <w:left w:val="nil"/>
                <w:bottom w:val="nil"/>
                <w:right w:val="nil"/>
                <w:between w:val="nil"/>
              </w:pBdr>
              <w:spacing w:before="60" w:after="60" w:line="240" w:lineRule="auto"/>
              <w:ind w:left="57" w:right="57"/>
              <w:rPr>
                <w:color w:val="000000"/>
                <w:sz w:val="18"/>
                <w:szCs w:val="1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095DC9">
            <w:pPr>
              <w:pBdr>
                <w:top w:val="nil"/>
                <w:left w:val="nil"/>
                <w:bottom w:val="nil"/>
                <w:right w:val="nil"/>
                <w:between w:val="nil"/>
              </w:pBdr>
              <w:spacing w:before="60" w:after="60" w:line="240" w:lineRule="auto"/>
              <w:ind w:left="57" w:right="57"/>
              <w:rPr>
                <w:sz w:val="22"/>
                <w:szCs w:val="22"/>
              </w:rPr>
            </w:pPr>
          </w:p>
        </w:tc>
      </w:tr>
      <w:tr w:rsidR="00095DC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120" w:line="240" w:lineRule="auto"/>
              <w:ind w:left="28" w:right="57"/>
              <w:rPr>
                <w:color w:val="000000"/>
                <w:sz w:val="18"/>
                <w:szCs w:val="18"/>
              </w:rPr>
            </w:pPr>
            <w:r>
              <w:rPr>
                <w:color w:val="000000"/>
                <w:sz w:val="18"/>
                <w:szCs w:val="18"/>
              </w:rPr>
              <w:t>Enhancement of our Power Maths teaching and curriculum planning in line with DfE and EEF guidance.</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We will fund teacher release time to embed key elements of guidance in school and to access Maths Hub resources and CPD (including Teaching for Mastery training).</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.5 day M6 +TLR  salary + .5 M6 salary x 38</w:t>
            </w:r>
          </w:p>
          <w:p w:rsidR="00095DC9" w:rsidRDefault="00D72BCF">
            <w:pPr>
              <w:spacing w:before="60" w:after="60" w:line="240" w:lineRule="auto"/>
              <w:ind w:left="57" w:right="57"/>
              <w:rPr>
                <w:color w:val="000000"/>
                <w:sz w:val="18"/>
                <w:szCs w:val="18"/>
                <w:highlight w:val="white"/>
              </w:rPr>
            </w:pPr>
            <w:r>
              <w:rPr>
                <w:color w:val="000000"/>
                <w:sz w:val="18"/>
                <w:szCs w:val="18"/>
              </w:rPr>
              <w:t>(£12,199)</w:t>
            </w:r>
          </w:p>
          <w:p w:rsidR="00095DC9" w:rsidRDefault="00095DC9">
            <w:pPr>
              <w:pBdr>
                <w:top w:val="nil"/>
                <w:left w:val="nil"/>
                <w:bottom w:val="nil"/>
                <w:right w:val="nil"/>
                <w:between w:val="nil"/>
              </w:pBdr>
              <w:spacing w:before="60" w:after="60" w:line="240" w:lineRule="auto"/>
              <w:ind w:left="57" w:right="57"/>
              <w:rPr>
                <w:color w:val="000000"/>
                <w:sz w:val="18"/>
                <w:szCs w:val="18"/>
                <w:highlight w:val="white"/>
              </w:rPr>
            </w:pP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Power Maths subscriptions and books</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(£4,251.58)</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TA and lead teacher raining – cover to attend.</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9 x TA 3 days</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6 x M6 days</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 xml:space="preserve">(£3,064)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60" w:line="240" w:lineRule="auto"/>
              <w:ind w:left="57" w:right="57"/>
              <w:rPr>
                <w:color w:val="000000"/>
                <w:sz w:val="18"/>
                <w:szCs w:val="18"/>
              </w:rPr>
            </w:pPr>
            <w:r>
              <w:rPr>
                <w:color w:val="000000"/>
                <w:sz w:val="18"/>
                <w:szCs w:val="18"/>
              </w:rPr>
              <w:t>The DfE non-statutory guidance has been produced in conjunction with the National Centre for Excellence in the Teaching of Mathematics, drawing on evidence-based</w:t>
            </w:r>
            <w:r>
              <w:rPr>
                <w:color w:val="000000"/>
                <w:sz w:val="18"/>
                <w:szCs w:val="18"/>
              </w:rPr>
              <w:t xml:space="preserve"> approaches: </w:t>
            </w:r>
          </w:p>
          <w:p w:rsidR="00095DC9" w:rsidRDefault="00D72BCF">
            <w:pPr>
              <w:pBdr>
                <w:top w:val="nil"/>
                <w:left w:val="nil"/>
                <w:bottom w:val="nil"/>
                <w:right w:val="nil"/>
                <w:between w:val="nil"/>
              </w:pBdr>
              <w:spacing w:before="60" w:after="120" w:line="240" w:lineRule="auto"/>
              <w:ind w:left="57" w:right="57"/>
              <w:rPr>
                <w:color w:val="0000FF"/>
                <w:sz w:val="18"/>
                <w:szCs w:val="18"/>
                <w:u w:val="single"/>
              </w:rPr>
            </w:pPr>
            <w:hyperlink r:id="rId11">
              <w:r>
                <w:rPr>
                  <w:color w:val="0000FF"/>
                  <w:sz w:val="18"/>
                  <w:szCs w:val="18"/>
                  <w:u w:val="single"/>
                </w:rPr>
                <w:t>Mathematics_guidance: key stages 1_and 2</w:t>
              </w:r>
            </w:hyperlink>
          </w:p>
          <w:p w:rsidR="00095DC9" w:rsidRDefault="00D72BCF">
            <w:pPr>
              <w:spacing w:before="120" w:after="60" w:line="240" w:lineRule="auto"/>
              <w:ind w:left="57" w:right="57"/>
              <w:rPr>
                <w:color w:val="000000"/>
                <w:sz w:val="18"/>
                <w:szCs w:val="18"/>
              </w:rPr>
            </w:pPr>
            <w:r>
              <w:rPr>
                <w:color w:val="000000"/>
                <w:sz w:val="18"/>
                <w:szCs w:val="18"/>
              </w:rPr>
              <w:t xml:space="preserve">The EEF guidance is based on a range of the best available evidence: </w:t>
            </w:r>
          </w:p>
          <w:p w:rsidR="00095DC9" w:rsidRDefault="00D72BCF">
            <w:pPr>
              <w:spacing w:before="60" w:after="60" w:line="240" w:lineRule="auto"/>
              <w:ind w:left="57" w:right="57"/>
              <w:rPr>
                <w:color w:val="000000"/>
                <w:sz w:val="18"/>
                <w:szCs w:val="18"/>
              </w:rPr>
            </w:pPr>
            <w:hyperlink r:id="rId12">
              <w:r>
                <w:rPr>
                  <w:color w:val="0000FF"/>
                  <w:sz w:val="18"/>
                  <w:szCs w:val="18"/>
                  <w:u w:val="single"/>
                </w:rPr>
                <w:t>Improving Mathematics in Key Stages 2 and 3</w:t>
              </w:r>
            </w:hyperlink>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r>
              <w:rPr>
                <w:sz w:val="22"/>
                <w:szCs w:val="22"/>
              </w:rPr>
              <w:t>3</w:t>
            </w:r>
          </w:p>
        </w:tc>
      </w:tr>
    </w:tbl>
    <w:p w:rsidR="00095DC9" w:rsidRDefault="00D72BCF">
      <w:pPr>
        <w:pStyle w:val="Heading3"/>
      </w:pPr>
      <w:r>
        <w:t>Targeted academic support (</w:t>
      </w:r>
      <w:r>
        <w:t xml:space="preserve">for example, tutoring, one-to-one support, structured interventions) </w:t>
      </w:r>
    </w:p>
    <w:p w:rsidR="00095DC9" w:rsidRDefault="00D72BCF">
      <w:pPr>
        <w:rPr>
          <w:b/>
        </w:rPr>
      </w:pPr>
      <w:r>
        <w:t xml:space="preserve">Budgeted cost: </w:t>
      </w:r>
      <w:r>
        <w:rPr>
          <w:b/>
        </w:rPr>
        <w:t>£139,589.8</w:t>
      </w:r>
    </w:p>
    <w:tbl>
      <w:tblPr>
        <w:tblStyle w:val="a5"/>
        <w:tblW w:w="9486" w:type="dxa"/>
        <w:tblLayout w:type="fixed"/>
        <w:tblLook w:val="0400" w:firstRow="0" w:lastRow="0" w:firstColumn="0" w:lastColumn="0" w:noHBand="0" w:noVBand="1"/>
      </w:tblPr>
      <w:tblGrid>
        <w:gridCol w:w="2688"/>
        <w:gridCol w:w="4254"/>
        <w:gridCol w:w="2544"/>
      </w:tblGrid>
      <w:tr w:rsidR="00095DC9">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t>Challenge number(s) addressed</w:t>
            </w:r>
          </w:p>
        </w:tc>
      </w:tr>
      <w:tr w:rsidR="00095D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right="57"/>
              <w:rPr>
                <w:color w:val="000000"/>
                <w:sz w:val="18"/>
                <w:szCs w:val="18"/>
              </w:rPr>
            </w:pPr>
            <w:r>
              <w:rPr>
                <w:color w:val="000000"/>
                <w:sz w:val="18"/>
                <w:szCs w:val="18"/>
              </w:rPr>
              <w:t xml:space="preserve">Continuing to provide a blend of 1:1 tuition, and small group tutoring for pupils whose education has been most impacted by the pandemic. A significant proportion of the pupils who receive tutoring will be disadvantaged, </w:t>
            </w:r>
            <w:r>
              <w:rPr>
                <w:color w:val="000000"/>
                <w:sz w:val="18"/>
                <w:szCs w:val="18"/>
              </w:rPr>
              <w:lastRenderedPageBreak/>
              <w:t>including those who are high attain</w:t>
            </w:r>
            <w:r>
              <w:rPr>
                <w:color w:val="000000"/>
                <w:sz w:val="18"/>
                <w:szCs w:val="18"/>
              </w:rPr>
              <w:t>ers.</w:t>
            </w:r>
          </w:p>
          <w:p w:rsidR="00095DC9" w:rsidRDefault="00D72BCF">
            <w:pPr>
              <w:spacing w:before="60" w:after="60" w:line="240" w:lineRule="auto"/>
              <w:ind w:right="57"/>
              <w:rPr>
                <w:color w:val="000000"/>
                <w:sz w:val="18"/>
                <w:szCs w:val="18"/>
              </w:rPr>
            </w:pPr>
            <w:r>
              <w:rPr>
                <w:color w:val="000000"/>
                <w:sz w:val="18"/>
                <w:szCs w:val="18"/>
                <w:highlight w:val="white"/>
              </w:rPr>
              <w:t xml:space="preserve"> AM salary</w:t>
            </w:r>
          </w:p>
          <w:p w:rsidR="00095DC9" w:rsidRDefault="00D72BCF">
            <w:pPr>
              <w:pBdr>
                <w:top w:val="nil"/>
                <w:left w:val="nil"/>
                <w:bottom w:val="nil"/>
                <w:right w:val="nil"/>
                <w:between w:val="nil"/>
              </w:pBdr>
              <w:spacing w:before="60" w:after="60" w:line="240" w:lineRule="auto"/>
              <w:ind w:right="57"/>
              <w:rPr>
                <w:sz w:val="18"/>
                <w:szCs w:val="18"/>
                <w:highlight w:val="white"/>
              </w:rPr>
            </w:pPr>
            <w:r>
              <w:rPr>
                <w:color w:val="000000"/>
                <w:sz w:val="18"/>
                <w:szCs w:val="18"/>
                <w:highlight w:val="white"/>
              </w:rPr>
              <w:t>(£ 24,500)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60" w:line="240" w:lineRule="auto"/>
              <w:ind w:left="57" w:right="57"/>
              <w:rPr>
                <w:color w:val="000000"/>
                <w:sz w:val="18"/>
                <w:szCs w:val="18"/>
              </w:rPr>
            </w:pPr>
            <w:r>
              <w:rPr>
                <w:color w:val="000000"/>
                <w:sz w:val="18"/>
                <w:szCs w:val="18"/>
              </w:rPr>
              <w:lastRenderedPageBreak/>
              <w:t>Tuition targeted at specific needs and knowledge gaps can be an effective method to support low attaining pupils or those falling behind, both one-to-one</w:t>
            </w:r>
          </w:p>
          <w:p w:rsidR="00095DC9" w:rsidRDefault="00D72BCF">
            <w:pPr>
              <w:pBdr>
                <w:top w:val="nil"/>
                <w:left w:val="nil"/>
                <w:bottom w:val="nil"/>
                <w:right w:val="nil"/>
                <w:between w:val="nil"/>
              </w:pBdr>
              <w:spacing w:before="60" w:after="120" w:line="240" w:lineRule="auto"/>
              <w:ind w:left="57" w:right="57"/>
              <w:rPr>
                <w:color w:val="0000FF"/>
                <w:sz w:val="18"/>
                <w:szCs w:val="18"/>
                <w:u w:val="single"/>
              </w:rPr>
            </w:pPr>
            <w:hyperlink r:id="rId13">
              <w:r>
                <w:rPr>
                  <w:color w:val="0000FF"/>
                  <w:sz w:val="18"/>
                  <w:szCs w:val="18"/>
                  <w:u w:val="single"/>
                </w:rPr>
                <w:t xml:space="preserve">One to one tuition | Teaching and Learning Toolkit | EEF </w:t>
              </w:r>
            </w:hyperlink>
          </w:p>
          <w:p w:rsidR="00095DC9" w:rsidRDefault="00D72BCF">
            <w:pPr>
              <w:spacing w:before="60" w:after="60" w:line="240" w:lineRule="auto"/>
              <w:ind w:left="57" w:right="57"/>
              <w:rPr>
                <w:color w:val="000000"/>
                <w:sz w:val="18"/>
                <w:szCs w:val="18"/>
              </w:rPr>
            </w:pPr>
            <w:r>
              <w:rPr>
                <w:color w:val="000000"/>
                <w:sz w:val="18"/>
                <w:szCs w:val="18"/>
              </w:rPr>
              <w:t>and  in small groups:</w:t>
            </w:r>
          </w:p>
          <w:p w:rsidR="00095DC9" w:rsidRDefault="00D72BCF">
            <w:pPr>
              <w:pBdr>
                <w:top w:val="nil"/>
                <w:left w:val="nil"/>
                <w:bottom w:val="nil"/>
                <w:right w:val="nil"/>
                <w:between w:val="nil"/>
              </w:pBdr>
              <w:spacing w:before="60" w:after="120" w:line="240" w:lineRule="auto"/>
              <w:ind w:left="57" w:right="57"/>
              <w:rPr>
                <w:color w:val="0000FF"/>
                <w:sz w:val="18"/>
                <w:szCs w:val="18"/>
                <w:u w:val="single"/>
              </w:rPr>
            </w:pPr>
            <w:hyperlink r:id="rId14">
              <w:r>
                <w:rPr>
                  <w:color w:val="0000FF"/>
                  <w:sz w:val="18"/>
                  <w:szCs w:val="18"/>
                  <w:u w:val="single"/>
                </w:rPr>
                <w:t>Small group tuition | Teaching and Learning Toolkit | EEF</w:t>
              </w:r>
            </w:hyperlink>
          </w:p>
          <w:p w:rsidR="00095DC9" w:rsidRDefault="00095DC9">
            <w:pPr>
              <w:pBdr>
                <w:top w:val="nil"/>
                <w:left w:val="nil"/>
                <w:bottom w:val="nil"/>
                <w:right w:val="nil"/>
                <w:between w:val="nil"/>
              </w:pBdr>
              <w:spacing w:before="60" w:after="60" w:line="240" w:lineRule="auto"/>
              <w:ind w:left="57" w:right="57"/>
              <w:rPr>
                <w:color w:val="000000"/>
                <w:sz w:val="18"/>
                <w:szCs w:val="18"/>
              </w:rPr>
            </w:pPr>
          </w:p>
          <w:p w:rsidR="00095DC9" w:rsidRDefault="00095DC9">
            <w:pPr>
              <w:pBdr>
                <w:top w:val="nil"/>
                <w:left w:val="nil"/>
                <w:bottom w:val="nil"/>
                <w:right w:val="nil"/>
                <w:between w:val="nil"/>
              </w:pBdr>
              <w:spacing w:before="60" w:after="60" w:line="240" w:lineRule="auto"/>
              <w:ind w:left="57" w:right="57"/>
              <w:rPr>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r>
              <w:rPr>
                <w:color w:val="000000"/>
              </w:rPr>
              <w:lastRenderedPageBreak/>
              <w:t xml:space="preserve">1, 2, 3, </w:t>
            </w:r>
          </w:p>
        </w:tc>
      </w:tr>
      <w:tr w:rsidR="00095D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right="57"/>
              <w:rPr>
                <w:color w:val="000000"/>
                <w:sz w:val="18"/>
                <w:szCs w:val="18"/>
              </w:rPr>
            </w:pPr>
            <w:r>
              <w:rPr>
                <w:color w:val="000000"/>
                <w:sz w:val="18"/>
                <w:szCs w:val="18"/>
              </w:rPr>
              <w:t>Targeted phonics teaching groups to ensure that all children are taught at the stage they require</w:t>
            </w:r>
          </w:p>
          <w:p w:rsidR="00095DC9" w:rsidRDefault="00D72BCF">
            <w:pPr>
              <w:pBdr>
                <w:top w:val="nil"/>
                <w:left w:val="nil"/>
                <w:bottom w:val="nil"/>
                <w:right w:val="nil"/>
                <w:between w:val="nil"/>
              </w:pBdr>
              <w:spacing w:before="60" w:after="60" w:line="240" w:lineRule="auto"/>
              <w:ind w:right="57"/>
              <w:rPr>
                <w:color w:val="000000"/>
                <w:sz w:val="18"/>
                <w:szCs w:val="18"/>
              </w:rPr>
            </w:pPr>
            <w:r>
              <w:rPr>
                <w:color w:val="000000"/>
                <w:sz w:val="18"/>
                <w:szCs w:val="18"/>
              </w:rPr>
              <w:t>Children assessed 6 weekly to ensure they are in the right group</w:t>
            </w:r>
          </w:p>
          <w:p w:rsidR="00095DC9" w:rsidRDefault="00D72BCF">
            <w:pPr>
              <w:pBdr>
                <w:top w:val="nil"/>
                <w:left w:val="nil"/>
                <w:bottom w:val="nil"/>
                <w:right w:val="nil"/>
                <w:between w:val="nil"/>
              </w:pBdr>
              <w:spacing w:before="60" w:after="60" w:line="240" w:lineRule="auto"/>
              <w:ind w:right="57"/>
              <w:rPr>
                <w:color w:val="000000"/>
                <w:sz w:val="18"/>
                <w:szCs w:val="18"/>
              </w:rPr>
            </w:pPr>
            <w:r>
              <w:rPr>
                <w:color w:val="000000"/>
                <w:sz w:val="18"/>
                <w:szCs w:val="18"/>
              </w:rPr>
              <w:t>teaching groups additional to classteacher groups.</w:t>
            </w:r>
          </w:p>
          <w:p w:rsidR="00095DC9" w:rsidRDefault="00D72BCF">
            <w:pPr>
              <w:pBdr>
                <w:top w:val="nil"/>
                <w:left w:val="nil"/>
                <w:bottom w:val="nil"/>
                <w:right w:val="nil"/>
                <w:between w:val="nil"/>
              </w:pBdr>
              <w:spacing w:before="60" w:after="60" w:line="240" w:lineRule="auto"/>
              <w:ind w:right="57"/>
              <w:rPr>
                <w:color w:val="000000"/>
                <w:sz w:val="18"/>
                <w:szCs w:val="18"/>
              </w:rPr>
            </w:pPr>
            <w:r>
              <w:rPr>
                <w:color w:val="000000"/>
                <w:sz w:val="18"/>
                <w:szCs w:val="18"/>
              </w:rPr>
              <w:t xml:space="preserve">TA costs </w:t>
            </w:r>
          </w:p>
          <w:p w:rsidR="00095DC9" w:rsidRDefault="00D72BCF">
            <w:pPr>
              <w:pBdr>
                <w:top w:val="nil"/>
                <w:left w:val="nil"/>
                <w:bottom w:val="nil"/>
                <w:right w:val="nil"/>
                <w:between w:val="nil"/>
              </w:pBdr>
              <w:spacing w:before="60" w:after="60" w:line="240" w:lineRule="auto"/>
              <w:ind w:right="57"/>
              <w:rPr>
                <w:color w:val="000000"/>
                <w:sz w:val="18"/>
                <w:szCs w:val="18"/>
              </w:rPr>
            </w:pPr>
            <w:r>
              <w:rPr>
                <w:color w:val="000000"/>
                <w:sz w:val="18"/>
                <w:szCs w:val="18"/>
              </w:rPr>
              <w:t>(£28,500)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60" w:line="240" w:lineRule="auto"/>
              <w:ind w:left="57" w:right="57"/>
              <w:rPr>
                <w:color w:val="000000"/>
                <w:sz w:val="18"/>
                <w:szCs w:val="18"/>
              </w:rPr>
            </w:pPr>
            <w:r>
              <w:rPr>
                <w:color w:val="000000"/>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w:t>
            </w:r>
            <w:r>
              <w:rPr>
                <w:color w:val="000000"/>
                <w:sz w:val="18"/>
                <w:szCs w:val="18"/>
              </w:rPr>
              <w:t>2 weeks:</w:t>
            </w:r>
          </w:p>
          <w:p w:rsidR="00095DC9" w:rsidRDefault="00D72BCF">
            <w:pPr>
              <w:spacing w:before="60" w:after="60" w:line="240" w:lineRule="auto"/>
              <w:ind w:left="57" w:right="57"/>
              <w:rPr>
                <w:sz w:val="18"/>
                <w:szCs w:val="18"/>
              </w:rPr>
            </w:pPr>
            <w:hyperlink r:id="rId15">
              <w:r>
                <w:rPr>
                  <w:color w:val="0000FF"/>
                  <w:sz w:val="18"/>
                  <w:szCs w:val="18"/>
                  <w:u w:val="single"/>
                </w:rPr>
                <w:t>Phonics | Teaching and Learning Toolkit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095DC9">
            <w:pPr>
              <w:pBdr>
                <w:top w:val="nil"/>
                <w:left w:val="nil"/>
                <w:bottom w:val="nil"/>
                <w:right w:val="nil"/>
                <w:between w:val="nil"/>
              </w:pBdr>
              <w:spacing w:before="60" w:after="60" w:line="240" w:lineRule="auto"/>
              <w:ind w:left="57" w:right="57"/>
              <w:rPr>
                <w:color w:val="000000"/>
              </w:rPr>
            </w:pPr>
          </w:p>
        </w:tc>
      </w:tr>
      <w:tr w:rsidR="00095D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 xml:space="preserve">Additional phonics sessions targeted at disadvantaged pupils who require further phonics support. This will be delivered in collaboration with our local English hub.  </w:t>
            </w:r>
          </w:p>
          <w:p w:rsidR="00095DC9" w:rsidRDefault="00D72BCF">
            <w:pPr>
              <w:spacing w:before="60" w:after="60" w:line="240" w:lineRule="auto"/>
              <w:ind w:right="57"/>
              <w:rPr>
                <w:color w:val="000000"/>
                <w:sz w:val="18"/>
                <w:szCs w:val="18"/>
              </w:rPr>
            </w:pPr>
            <w:r>
              <w:rPr>
                <w:color w:val="000000"/>
                <w:sz w:val="18"/>
                <w:szCs w:val="18"/>
                <w:highlight w:val="white"/>
              </w:rPr>
              <w:t>TA2 salary 1.5 days x38</w:t>
            </w:r>
          </w:p>
          <w:p w:rsidR="00095DC9" w:rsidRDefault="00D72BCF">
            <w:pPr>
              <w:pBdr>
                <w:top w:val="nil"/>
                <w:left w:val="nil"/>
                <w:bottom w:val="nil"/>
                <w:right w:val="nil"/>
                <w:between w:val="nil"/>
              </w:pBdr>
              <w:spacing w:before="60" w:after="60" w:line="240" w:lineRule="auto"/>
              <w:ind w:right="57"/>
              <w:rPr>
                <w:i/>
                <w:sz w:val="18"/>
                <w:szCs w:val="18"/>
                <w:highlight w:val="white"/>
              </w:rPr>
            </w:pPr>
            <w:r>
              <w:rPr>
                <w:color w:val="000000"/>
                <w:sz w:val="18"/>
                <w:szCs w:val="18"/>
                <w:highlight w:val="white"/>
              </w:rPr>
              <w:t>(£6064.80)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w:t>
            </w:r>
            <w:r>
              <w:rPr>
                <w:color w:val="000000"/>
                <w:sz w:val="18"/>
                <w:szCs w:val="18"/>
              </w:rPr>
              <w:t>2 weeks:</w:t>
            </w:r>
          </w:p>
          <w:p w:rsidR="00095DC9" w:rsidRDefault="00D72BCF">
            <w:pPr>
              <w:pBdr>
                <w:top w:val="nil"/>
                <w:left w:val="nil"/>
                <w:bottom w:val="nil"/>
                <w:right w:val="nil"/>
                <w:between w:val="nil"/>
              </w:pBdr>
              <w:spacing w:before="60" w:after="60" w:line="240" w:lineRule="auto"/>
              <w:ind w:left="57" w:right="57"/>
              <w:rPr>
                <w:sz w:val="18"/>
                <w:szCs w:val="18"/>
              </w:rPr>
            </w:pPr>
            <w:hyperlink r:id="rId16">
              <w:r>
                <w:rPr>
                  <w:color w:val="0000FF"/>
                  <w:sz w:val="18"/>
                  <w:szCs w:val="18"/>
                  <w:u w:val="single"/>
                </w:rPr>
                <w:t>Phonics | Teaching and Learning Toolkit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r>
              <w:rPr>
                <w:color w:val="000000"/>
              </w:rPr>
              <w:t>2</w:t>
            </w:r>
          </w:p>
        </w:tc>
      </w:tr>
      <w:tr w:rsidR="00095D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Purchase of a programme to improve listening, narrative and vocabulary skills for</w:t>
            </w:r>
            <w:r>
              <w:rPr>
                <w:color w:val="000000"/>
                <w:sz w:val="18"/>
                <w:szCs w:val="18"/>
              </w:rPr>
              <w:t xml:space="preserve"> disadvantaged pupils who have relatively low spoken language skills.</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Fisher family trust lightening squad</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(£1,050)</w:t>
            </w:r>
          </w:p>
          <w:p w:rsidR="00095DC9" w:rsidRDefault="00095DC9">
            <w:pPr>
              <w:pBdr>
                <w:top w:val="nil"/>
                <w:left w:val="nil"/>
                <w:bottom w:val="nil"/>
                <w:right w:val="nil"/>
                <w:between w:val="nil"/>
              </w:pBdr>
              <w:spacing w:before="60" w:after="60" w:line="240" w:lineRule="auto"/>
              <w:ind w:left="57" w:right="57"/>
              <w:rPr>
                <w:color w:val="000000"/>
                <w:sz w:val="18"/>
                <w:szCs w:val="18"/>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Oral language interventions can have a positive impact on pupils’ language skills. Approaches that focus on speaking, listening and a combination of the two show positive impacts on attainment:</w:t>
            </w:r>
          </w:p>
          <w:p w:rsidR="00095DC9" w:rsidRDefault="00D72BCF">
            <w:pPr>
              <w:pBdr>
                <w:top w:val="nil"/>
                <w:left w:val="nil"/>
                <w:bottom w:val="nil"/>
                <w:right w:val="nil"/>
                <w:between w:val="nil"/>
              </w:pBdr>
              <w:spacing w:before="60" w:after="120" w:line="240" w:lineRule="auto"/>
              <w:ind w:left="57" w:right="57"/>
              <w:rPr>
                <w:color w:val="0000FF"/>
                <w:sz w:val="18"/>
                <w:szCs w:val="18"/>
                <w:u w:val="single"/>
              </w:rPr>
            </w:pPr>
            <w:hyperlink r:id="rId17">
              <w:r>
                <w:rPr>
                  <w:color w:val="0000FF"/>
                  <w:sz w:val="18"/>
                  <w:szCs w:val="18"/>
                  <w:u w:val="single"/>
                </w:rPr>
                <w:t>Oral language interventions | Teaching and Learning Toolkit | EEF</w:t>
              </w:r>
            </w:hyperlink>
          </w:p>
          <w:p w:rsidR="00095DC9" w:rsidRDefault="00095DC9">
            <w:pPr>
              <w:pBdr>
                <w:top w:val="nil"/>
                <w:left w:val="nil"/>
                <w:bottom w:val="nil"/>
                <w:right w:val="nil"/>
                <w:between w:val="nil"/>
              </w:pBdr>
              <w:spacing w:before="60" w:after="60" w:line="240" w:lineRule="auto"/>
              <w:ind w:left="57" w:right="57"/>
              <w:rPr>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r>
              <w:rPr>
                <w:color w:val="000000"/>
              </w:rPr>
              <w:t>1, 4</w:t>
            </w:r>
          </w:p>
        </w:tc>
      </w:tr>
      <w:tr w:rsidR="00095D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60" w:line="240" w:lineRule="auto"/>
              <w:ind w:right="57"/>
              <w:rPr>
                <w:color w:val="000000"/>
                <w:sz w:val="18"/>
                <w:szCs w:val="18"/>
              </w:rPr>
            </w:pPr>
            <w:r>
              <w:rPr>
                <w:color w:val="000000"/>
                <w:sz w:val="18"/>
                <w:szCs w:val="18"/>
              </w:rPr>
              <w:t>Targeted maths teaching groups to ensure that all children are taught at the stage they require</w:t>
            </w:r>
          </w:p>
          <w:p w:rsidR="00095DC9" w:rsidRDefault="00D72BCF">
            <w:pPr>
              <w:spacing w:before="60" w:after="60" w:line="240" w:lineRule="auto"/>
              <w:ind w:right="57"/>
              <w:rPr>
                <w:color w:val="000000"/>
                <w:sz w:val="18"/>
                <w:szCs w:val="18"/>
              </w:rPr>
            </w:pPr>
            <w:r>
              <w:rPr>
                <w:color w:val="000000"/>
                <w:sz w:val="18"/>
                <w:szCs w:val="18"/>
              </w:rPr>
              <w:t>Children assessed 6 weekly to ensure they are in the right group</w:t>
            </w:r>
          </w:p>
          <w:p w:rsidR="00095DC9" w:rsidRDefault="00D72BCF">
            <w:pPr>
              <w:spacing w:before="60" w:after="60" w:line="240" w:lineRule="auto"/>
              <w:ind w:right="57"/>
              <w:rPr>
                <w:color w:val="000000"/>
                <w:sz w:val="18"/>
                <w:szCs w:val="18"/>
              </w:rPr>
            </w:pPr>
            <w:r>
              <w:rPr>
                <w:color w:val="000000"/>
                <w:sz w:val="18"/>
                <w:szCs w:val="18"/>
              </w:rPr>
              <w:t>Teaching groups additional to/ staffing within classteacher groups.</w:t>
            </w:r>
          </w:p>
          <w:p w:rsidR="00095DC9" w:rsidRDefault="00D72BCF">
            <w:pPr>
              <w:spacing w:before="60" w:after="60" w:line="240" w:lineRule="auto"/>
              <w:ind w:right="57"/>
              <w:rPr>
                <w:color w:val="000000"/>
                <w:sz w:val="18"/>
                <w:szCs w:val="18"/>
              </w:rPr>
            </w:pPr>
            <w:r>
              <w:rPr>
                <w:color w:val="000000"/>
                <w:sz w:val="18"/>
                <w:szCs w:val="18"/>
              </w:rPr>
              <w:t xml:space="preserve">TA costs </w:t>
            </w:r>
          </w:p>
          <w:p w:rsidR="00095DC9" w:rsidRDefault="00D72BCF">
            <w:pPr>
              <w:spacing w:before="60" w:after="60" w:line="240" w:lineRule="auto"/>
              <w:ind w:right="57"/>
              <w:rPr>
                <w:color w:val="000000"/>
                <w:sz w:val="18"/>
                <w:szCs w:val="18"/>
              </w:rPr>
            </w:pPr>
            <w:r>
              <w:rPr>
                <w:color w:val="000000"/>
                <w:sz w:val="18"/>
                <w:szCs w:val="18"/>
              </w:rPr>
              <w:t>(£19,950)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60" w:line="240" w:lineRule="auto"/>
              <w:ind w:left="57" w:right="57"/>
              <w:rPr>
                <w:color w:val="000000"/>
                <w:sz w:val="18"/>
                <w:szCs w:val="18"/>
              </w:rPr>
            </w:pPr>
            <w:r>
              <w:rPr>
                <w:color w:val="000000"/>
                <w:sz w:val="18"/>
                <w:szCs w:val="18"/>
              </w:rPr>
              <w:t>The DfE non-statutory guidance has been produced in conjunction with the National Centre for Excellence</w:t>
            </w:r>
            <w:r>
              <w:rPr>
                <w:color w:val="000000"/>
                <w:sz w:val="18"/>
                <w:szCs w:val="18"/>
              </w:rPr>
              <w:t xml:space="preserve"> in the Teaching of Mathematics, drawing on evidence-based approaches: </w:t>
            </w:r>
          </w:p>
          <w:p w:rsidR="00095DC9" w:rsidRDefault="00D72BCF">
            <w:pPr>
              <w:spacing w:before="60" w:after="120" w:line="240" w:lineRule="auto"/>
              <w:ind w:left="57" w:right="57"/>
              <w:rPr>
                <w:color w:val="0000FF"/>
                <w:sz w:val="18"/>
                <w:szCs w:val="18"/>
                <w:u w:val="single"/>
              </w:rPr>
            </w:pPr>
            <w:hyperlink r:id="rId18">
              <w:r>
                <w:rPr>
                  <w:color w:val="0000FF"/>
                  <w:sz w:val="18"/>
                  <w:szCs w:val="18"/>
                  <w:u w:val="single"/>
                </w:rPr>
                <w:t>Mathematics_guidance: key stages</w:t>
              </w:r>
              <w:r>
                <w:rPr>
                  <w:color w:val="0000FF"/>
                  <w:sz w:val="18"/>
                  <w:szCs w:val="18"/>
                  <w:u w:val="single"/>
                </w:rPr>
                <w:t xml:space="preserve"> 1_and 2</w:t>
              </w:r>
            </w:hyperlink>
          </w:p>
          <w:p w:rsidR="00095DC9" w:rsidRDefault="00D72BCF">
            <w:pPr>
              <w:spacing w:before="120" w:after="60" w:line="240" w:lineRule="auto"/>
              <w:ind w:left="57" w:right="57"/>
              <w:rPr>
                <w:color w:val="000000"/>
                <w:sz w:val="18"/>
                <w:szCs w:val="18"/>
              </w:rPr>
            </w:pPr>
            <w:r>
              <w:rPr>
                <w:color w:val="000000"/>
                <w:sz w:val="18"/>
                <w:szCs w:val="18"/>
              </w:rPr>
              <w:t xml:space="preserve">The EEF guidance is based on a range of the best available evidence: </w:t>
            </w:r>
          </w:p>
          <w:p w:rsidR="00095DC9" w:rsidRDefault="00D72BCF">
            <w:pPr>
              <w:spacing w:before="60" w:after="60" w:line="240" w:lineRule="auto"/>
              <w:ind w:left="57" w:right="57"/>
              <w:rPr>
                <w:color w:val="000000"/>
                <w:sz w:val="18"/>
                <w:szCs w:val="18"/>
              </w:rPr>
            </w:pPr>
            <w:hyperlink r:id="rId19">
              <w:r>
                <w:rPr>
                  <w:color w:val="0000FF"/>
                  <w:sz w:val="18"/>
                  <w:szCs w:val="18"/>
                  <w:u w:val="single"/>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095DC9">
            <w:pPr>
              <w:pBdr>
                <w:top w:val="nil"/>
                <w:left w:val="nil"/>
                <w:bottom w:val="nil"/>
                <w:right w:val="nil"/>
                <w:between w:val="nil"/>
              </w:pBdr>
              <w:spacing w:before="60" w:after="60" w:line="240" w:lineRule="auto"/>
              <w:ind w:left="57" w:right="57"/>
              <w:rPr>
                <w:color w:val="000000"/>
              </w:rPr>
            </w:pPr>
          </w:p>
        </w:tc>
      </w:tr>
      <w:tr w:rsidR="00095D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after="60" w:line="240" w:lineRule="auto"/>
              <w:ind w:right="57"/>
              <w:rPr>
                <w:color w:val="000000"/>
                <w:sz w:val="18"/>
                <w:szCs w:val="18"/>
              </w:rPr>
            </w:pPr>
            <w:r>
              <w:rPr>
                <w:color w:val="000000"/>
                <w:sz w:val="18"/>
                <w:szCs w:val="18"/>
              </w:rPr>
              <w:t xml:space="preserve">Additional Y5/6 class to allow year group specific teaching and supportive groupings and interventions for Y5 and y6 cohort to support preparation for the end of the key stage and readiness for the next. </w:t>
            </w:r>
          </w:p>
          <w:p w:rsidR="00095DC9" w:rsidRDefault="00D72BCF">
            <w:pPr>
              <w:spacing w:before="60" w:after="60" w:line="240" w:lineRule="auto"/>
              <w:ind w:right="57"/>
              <w:rPr>
                <w:color w:val="000000"/>
                <w:sz w:val="18"/>
                <w:szCs w:val="18"/>
              </w:rPr>
            </w:pPr>
            <w:r>
              <w:rPr>
                <w:color w:val="000000"/>
                <w:sz w:val="18"/>
                <w:szCs w:val="18"/>
              </w:rPr>
              <w:t xml:space="preserve">1 x Teacher M6 </w:t>
            </w:r>
          </w:p>
          <w:p w:rsidR="00095DC9" w:rsidRDefault="00D72BCF">
            <w:pPr>
              <w:spacing w:before="60" w:after="60" w:line="240" w:lineRule="auto"/>
              <w:ind w:right="57"/>
              <w:rPr>
                <w:color w:val="000000"/>
                <w:sz w:val="18"/>
                <w:szCs w:val="18"/>
              </w:rPr>
            </w:pPr>
            <w:r>
              <w:rPr>
                <w:color w:val="000000"/>
                <w:sz w:val="18"/>
                <w:szCs w:val="18"/>
              </w:rPr>
              <w:t>£59, 525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095DC9">
            <w:pPr>
              <w:spacing w:before="60" w:after="60" w:line="240" w:lineRule="auto"/>
              <w:ind w:left="57" w:right="57"/>
              <w:rPr>
                <w:color w:val="000000"/>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color w:val="000000"/>
              </w:rPr>
            </w:pPr>
            <w:r>
              <w:rPr>
                <w:color w:val="000000"/>
              </w:rPr>
              <w:t>2,3</w:t>
            </w:r>
          </w:p>
        </w:tc>
      </w:tr>
    </w:tbl>
    <w:p w:rsidR="00095DC9" w:rsidRDefault="00095DC9"/>
    <w:p w:rsidR="00095DC9" w:rsidRDefault="00D72BCF">
      <w:pPr>
        <w:pStyle w:val="Heading3"/>
      </w:pPr>
      <w:r>
        <w:t>Wider strategies (for example, related to attendance, behaviour, wellbeing)</w:t>
      </w:r>
    </w:p>
    <w:p w:rsidR="00095DC9" w:rsidRDefault="00D72BCF">
      <w:pPr>
        <w:spacing w:before="240" w:after="120"/>
        <w:rPr>
          <w:b/>
        </w:rPr>
      </w:pPr>
      <w:r>
        <w:t xml:space="preserve">Budgeted cost: </w:t>
      </w:r>
      <w:r>
        <w:rPr>
          <w:b/>
        </w:rPr>
        <w:t>£145,886</w:t>
      </w:r>
    </w:p>
    <w:tbl>
      <w:tblPr>
        <w:tblStyle w:val="a6"/>
        <w:tblW w:w="9486" w:type="dxa"/>
        <w:tblLayout w:type="fixed"/>
        <w:tblLook w:val="0400" w:firstRow="0" w:lastRow="0" w:firstColumn="0" w:lastColumn="0" w:noHBand="0" w:noVBand="1"/>
      </w:tblPr>
      <w:tblGrid>
        <w:gridCol w:w="2688"/>
        <w:gridCol w:w="4254"/>
        <w:gridCol w:w="2544"/>
      </w:tblGrid>
      <w:tr w:rsidR="00095DC9">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b/>
              </w:rPr>
            </w:pPr>
            <w:r>
              <w:rPr>
                <w:b/>
              </w:rPr>
              <w:t>Challenge number(s) addressed</w:t>
            </w:r>
          </w:p>
        </w:tc>
      </w:tr>
      <w:tr w:rsidR="00095D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Embedding principles of good practice set out in the DfE’s guidance on</w:t>
            </w:r>
            <w:r>
              <w:rPr>
                <w:color w:val="0070C0"/>
                <w:sz w:val="18"/>
                <w:szCs w:val="18"/>
                <w:u w:val="single"/>
              </w:rPr>
              <w:t xml:space="preserve"> </w:t>
            </w:r>
            <w:hyperlink r:id="rId20">
              <w:r>
                <w:rPr>
                  <w:color w:val="0000FF"/>
                  <w:sz w:val="18"/>
                  <w:szCs w:val="18"/>
                  <w:u w:val="single"/>
                </w:rPr>
                <w:t>working together to improve school attendance</w:t>
              </w:r>
            </w:hyperlink>
            <w:r>
              <w:rPr>
                <w:color w:val="0070C0"/>
                <w:sz w:val="18"/>
                <w:szCs w:val="18"/>
                <w:u w:val="single"/>
              </w:rPr>
              <w:t>.</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This will involve training and release time for staff to develop and implement new procedures and appoi</w:t>
            </w:r>
            <w:r>
              <w:rPr>
                <w:color w:val="000000"/>
                <w:sz w:val="18"/>
                <w:szCs w:val="18"/>
              </w:rPr>
              <w:t xml:space="preserve">nting attendance/support officers to improve attendance. </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 £36,114  Attendance and CAFT time)</w:t>
            </w:r>
          </w:p>
          <w:p w:rsidR="00095DC9" w:rsidRDefault="00D72BCF">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Attendance / Behaviour Rewards</w:t>
            </w:r>
          </w:p>
          <w:p w:rsidR="00095DC9" w:rsidRDefault="00D72BCF">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(£1,250)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r>
              <w:rPr>
                <w:color w:val="000000"/>
              </w:rPr>
              <w:t>The DfE guidance has been informed by engagement with schools that have significantly reduced levels of absence and persi</w:t>
            </w:r>
            <w:r>
              <w:rPr>
                <w:color w:val="000000"/>
              </w:rPr>
              <w:t xml:space="preserve">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60" w:line="240" w:lineRule="auto"/>
              <w:ind w:left="57" w:right="57"/>
              <w:rPr>
                <w:sz w:val="22"/>
                <w:szCs w:val="22"/>
              </w:rPr>
            </w:pPr>
            <w:r>
              <w:rPr>
                <w:color w:val="000000"/>
                <w:sz w:val="22"/>
                <w:szCs w:val="22"/>
              </w:rPr>
              <w:t>4</w:t>
            </w:r>
          </w:p>
        </w:tc>
      </w:tr>
      <w:tr w:rsidR="00095DC9">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pBdr>
                <w:top w:val="nil"/>
                <w:left w:val="nil"/>
                <w:bottom w:val="nil"/>
                <w:right w:val="nil"/>
                <w:between w:val="nil"/>
              </w:pBdr>
              <w:spacing w:before="60" w:after="120" w:line="240" w:lineRule="auto"/>
              <w:ind w:left="29" w:right="57"/>
              <w:rPr>
                <w:b/>
                <w:color w:val="000000"/>
                <w:sz w:val="18"/>
                <w:szCs w:val="18"/>
              </w:rPr>
            </w:pPr>
            <w:r>
              <w:rPr>
                <w:b/>
                <w:color w:val="000000"/>
                <w:sz w:val="18"/>
                <w:szCs w:val="18"/>
              </w:rPr>
              <w:t>Targeted support to enable disadvantaged pupils to build cultural capital</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Universal support to enable the ‘only just not disadvantaged’ to access curricular and extra curricular/enrichment activities</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 xml:space="preserve">Misc trips estimated </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highlight w:val="white"/>
              </w:rPr>
              <w:t>(£</w:t>
            </w:r>
            <w:r>
              <w:rPr>
                <w:color w:val="000000"/>
                <w:sz w:val="18"/>
                <w:szCs w:val="18"/>
              </w:rPr>
              <w:t>1,500)</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Ghyll Head</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(£3,363)</w:t>
            </w:r>
          </w:p>
          <w:p w:rsidR="00095DC9" w:rsidRDefault="00D72BCF">
            <w:pPr>
              <w:numPr>
                <w:ilvl w:val="0"/>
                <w:numId w:val="1"/>
              </w:numPr>
              <w:pBdr>
                <w:top w:val="nil"/>
                <w:left w:val="nil"/>
                <w:bottom w:val="nil"/>
                <w:right w:val="nil"/>
                <w:between w:val="nil"/>
              </w:pBdr>
              <w:spacing w:before="60" w:after="120" w:line="240" w:lineRule="auto"/>
              <w:ind w:right="57"/>
              <w:rPr>
                <w:color w:val="000000"/>
                <w:sz w:val="18"/>
                <w:szCs w:val="18"/>
              </w:rPr>
            </w:pPr>
            <w:r>
              <w:rPr>
                <w:color w:val="000000"/>
                <w:sz w:val="18"/>
                <w:szCs w:val="18"/>
              </w:rPr>
              <w:t>venue £11,088, coaches £890, less pupil contributions of £8,415</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Wick Court Farm</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(£3,589)</w:t>
            </w:r>
          </w:p>
          <w:p w:rsidR="00095DC9" w:rsidRDefault="00D72BCF">
            <w:pPr>
              <w:numPr>
                <w:ilvl w:val="0"/>
                <w:numId w:val="4"/>
              </w:numPr>
              <w:pBdr>
                <w:top w:val="nil"/>
                <w:left w:val="nil"/>
                <w:bottom w:val="nil"/>
                <w:right w:val="nil"/>
                <w:between w:val="nil"/>
              </w:pBdr>
              <w:spacing w:before="60" w:after="120" w:line="240" w:lineRule="auto"/>
              <w:ind w:right="57"/>
              <w:rPr>
                <w:color w:val="000000"/>
                <w:sz w:val="18"/>
                <w:szCs w:val="18"/>
              </w:rPr>
            </w:pPr>
            <w:r>
              <w:rPr>
                <w:color w:val="000000"/>
                <w:sz w:val="18"/>
                <w:szCs w:val="18"/>
              </w:rPr>
              <w:t xml:space="preserve">venue £11,250, coach £1,195, less pupil contributions estimated at £8,856 based on last year charges and estimating 50:50 PP/Non-PP split </w:t>
            </w:r>
          </w:p>
          <w:p w:rsidR="00095DC9" w:rsidRDefault="00D72BCF">
            <w:pPr>
              <w:pBdr>
                <w:top w:val="nil"/>
                <w:left w:val="nil"/>
                <w:bottom w:val="nil"/>
                <w:right w:val="nil"/>
                <w:between w:val="nil"/>
              </w:pBdr>
              <w:spacing w:before="60" w:after="120" w:line="240" w:lineRule="auto"/>
              <w:ind w:right="57"/>
              <w:rPr>
                <w:color w:val="000000"/>
                <w:sz w:val="18"/>
                <w:szCs w:val="18"/>
                <w:highlight w:val="white"/>
              </w:rPr>
            </w:pPr>
            <w:r>
              <w:rPr>
                <w:color w:val="000000"/>
                <w:sz w:val="18"/>
                <w:szCs w:val="18"/>
                <w:highlight w:val="white"/>
              </w:rPr>
              <w:t>Additional spending over and above the music grant to enable all KS2 children to learn ukele in 3/4and samba drums in 5/6</w:t>
            </w:r>
          </w:p>
          <w:p w:rsidR="00095DC9" w:rsidRDefault="00D72BCF">
            <w:pPr>
              <w:pBdr>
                <w:top w:val="nil"/>
                <w:left w:val="nil"/>
                <w:bottom w:val="nil"/>
                <w:right w:val="nil"/>
                <w:between w:val="nil"/>
              </w:pBdr>
              <w:spacing w:before="60" w:after="120" w:line="240" w:lineRule="auto"/>
              <w:ind w:right="57"/>
              <w:rPr>
                <w:color w:val="000000"/>
                <w:sz w:val="18"/>
                <w:szCs w:val="18"/>
              </w:rPr>
            </w:pPr>
            <w:r>
              <w:rPr>
                <w:color w:val="000000"/>
                <w:sz w:val="18"/>
                <w:szCs w:val="18"/>
              </w:rPr>
              <w:t>(£9,040)</w:t>
            </w:r>
          </w:p>
          <w:p w:rsidR="00095DC9" w:rsidRDefault="00D72BCF">
            <w:pPr>
              <w:pBdr>
                <w:top w:val="nil"/>
                <w:left w:val="nil"/>
                <w:bottom w:val="nil"/>
                <w:right w:val="nil"/>
                <w:between w:val="nil"/>
              </w:pBdr>
              <w:spacing w:before="60" w:after="120" w:line="240" w:lineRule="auto"/>
              <w:ind w:left="29" w:right="57"/>
              <w:rPr>
                <w:b/>
                <w:color w:val="000000"/>
                <w:sz w:val="18"/>
                <w:szCs w:val="18"/>
                <w:highlight w:val="white"/>
              </w:rPr>
            </w:pPr>
            <w:r>
              <w:rPr>
                <w:b/>
                <w:color w:val="000000"/>
                <w:sz w:val="18"/>
                <w:szCs w:val="18"/>
                <w:highlight w:val="white"/>
              </w:rPr>
              <w:t>SEND additional spends</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Education Psychologist assessments</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(£5,600 estimated on SLA)</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 xml:space="preserve">Speech And Language Therapist </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(£6,700)</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A</w:t>
            </w:r>
            <w:r>
              <w:rPr>
                <w:color w:val="000000"/>
                <w:sz w:val="18"/>
                <w:szCs w:val="18"/>
                <w:highlight w:val="white"/>
              </w:rPr>
              <w:t>dditional spend required over and above our notional SEN budget for those children beyond 37 who have additional funding (12 x 6000 =72000)</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£72, 000</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SEND resources (eg Attention Autism Intervention)</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(£300)</w:t>
            </w:r>
          </w:p>
          <w:p w:rsidR="00095DC9" w:rsidRDefault="00D72BCF">
            <w:pPr>
              <w:pBdr>
                <w:top w:val="nil"/>
                <w:left w:val="nil"/>
                <w:bottom w:val="nil"/>
                <w:right w:val="nil"/>
                <w:between w:val="nil"/>
              </w:pBdr>
              <w:spacing w:before="60" w:after="120" w:line="240" w:lineRule="auto"/>
              <w:ind w:left="29" w:right="57"/>
              <w:rPr>
                <w:b/>
                <w:color w:val="000000"/>
                <w:sz w:val="18"/>
                <w:szCs w:val="18"/>
                <w:highlight w:val="white"/>
              </w:rPr>
            </w:pPr>
            <w:r>
              <w:rPr>
                <w:b/>
                <w:color w:val="000000"/>
                <w:sz w:val="18"/>
                <w:szCs w:val="18"/>
                <w:highlight w:val="white"/>
              </w:rPr>
              <w:t>CAFT</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 xml:space="preserve">CAFT support - Termly supervision sessions </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w:t>
            </w:r>
            <w:r>
              <w:rPr>
                <w:color w:val="000000"/>
                <w:sz w:val="18"/>
                <w:szCs w:val="18"/>
              </w:rPr>
              <w:t>£450)</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Magic Breakfast</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(£1,875)</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 xml:space="preserve">StudyBugs </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(£995)</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CAFT resources (eg. walking bus)</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(£50)</w:t>
            </w:r>
          </w:p>
          <w:p w:rsidR="00095DC9" w:rsidRDefault="00D72BCF">
            <w:pPr>
              <w:pBdr>
                <w:top w:val="nil"/>
                <w:left w:val="nil"/>
                <w:bottom w:val="nil"/>
                <w:right w:val="nil"/>
                <w:between w:val="nil"/>
              </w:pBdr>
              <w:spacing w:before="60" w:after="120" w:line="240" w:lineRule="auto"/>
              <w:ind w:left="29" w:right="57"/>
              <w:rPr>
                <w:b/>
                <w:color w:val="000000"/>
                <w:sz w:val="18"/>
                <w:szCs w:val="18"/>
                <w:highlight w:val="white"/>
              </w:rPr>
            </w:pPr>
            <w:r>
              <w:rPr>
                <w:b/>
                <w:color w:val="000000"/>
                <w:sz w:val="18"/>
                <w:szCs w:val="18"/>
                <w:highlight w:val="white"/>
              </w:rPr>
              <w:lastRenderedPageBreak/>
              <w:t>Misc</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Peace Mala and School Council resources</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(£540)</w:t>
            </w:r>
          </w:p>
          <w:p w:rsidR="00095DC9" w:rsidRDefault="00D72BCF">
            <w:pPr>
              <w:pBdr>
                <w:top w:val="nil"/>
                <w:left w:val="nil"/>
                <w:bottom w:val="nil"/>
                <w:right w:val="nil"/>
                <w:between w:val="nil"/>
              </w:pBdr>
              <w:spacing w:before="60" w:after="120" w:line="240" w:lineRule="auto"/>
              <w:ind w:left="29" w:right="57"/>
              <w:rPr>
                <w:color w:val="000000"/>
                <w:sz w:val="18"/>
                <w:szCs w:val="18"/>
                <w:highlight w:val="white"/>
              </w:rPr>
            </w:pPr>
            <w:r>
              <w:rPr>
                <w:color w:val="000000"/>
                <w:sz w:val="18"/>
                <w:szCs w:val="18"/>
                <w:highlight w:val="white"/>
              </w:rPr>
              <w:t>Salford Library Book Loan SLA</w:t>
            </w:r>
          </w:p>
          <w:p w:rsidR="00095DC9" w:rsidRDefault="00D72BCF">
            <w:pPr>
              <w:pBdr>
                <w:top w:val="nil"/>
                <w:left w:val="nil"/>
                <w:bottom w:val="nil"/>
                <w:right w:val="nil"/>
                <w:between w:val="nil"/>
              </w:pBdr>
              <w:spacing w:before="60" w:after="120" w:line="240" w:lineRule="auto"/>
              <w:ind w:left="29" w:right="57"/>
              <w:rPr>
                <w:color w:val="000000"/>
                <w:sz w:val="18"/>
                <w:szCs w:val="18"/>
              </w:rPr>
            </w:pPr>
            <w:r>
              <w:rPr>
                <w:color w:val="000000"/>
                <w:sz w:val="18"/>
                <w:szCs w:val="18"/>
              </w:rPr>
              <w:t>(£2,520)</w:t>
            </w:r>
          </w:p>
          <w:p w:rsidR="00095DC9" w:rsidRDefault="00095DC9">
            <w:pPr>
              <w:pBdr>
                <w:top w:val="nil"/>
                <w:left w:val="nil"/>
                <w:bottom w:val="nil"/>
                <w:right w:val="nil"/>
                <w:between w:val="nil"/>
              </w:pBdr>
              <w:spacing w:before="60" w:after="60" w:line="240" w:lineRule="auto"/>
              <w:ind w:left="57" w:right="57"/>
              <w:rPr>
                <w:color w:val="000000"/>
                <w:sz w:val="22"/>
                <w:szCs w:val="22"/>
              </w:rPr>
            </w:pPr>
          </w:p>
        </w:tc>
      </w:tr>
    </w:tbl>
    <w:p w:rsidR="00095DC9" w:rsidRDefault="00D72BCF">
      <w:pPr>
        <w:rPr>
          <w:i/>
          <w:color w:val="104F75"/>
          <w:sz w:val="28"/>
          <w:szCs w:val="28"/>
          <w:highlight w:val="white"/>
        </w:rPr>
      </w:pPr>
      <w:r>
        <w:rPr>
          <w:b/>
          <w:color w:val="104F75"/>
          <w:sz w:val="28"/>
          <w:szCs w:val="28"/>
        </w:rPr>
        <w:lastRenderedPageBreak/>
        <w:t xml:space="preserve">Total budgeted cost: £ </w:t>
      </w:r>
      <w:r>
        <w:rPr>
          <w:i/>
          <w:color w:val="104F75"/>
          <w:sz w:val="28"/>
          <w:szCs w:val="28"/>
          <w:highlight w:val="white"/>
        </w:rPr>
        <w:t>360,848.50</w:t>
      </w:r>
    </w:p>
    <w:p w:rsidR="00095DC9" w:rsidRDefault="00D72BCF">
      <w:pPr>
        <w:rPr>
          <w:color w:val="104F75"/>
          <w:sz w:val="28"/>
          <w:szCs w:val="28"/>
          <w:highlight w:val="white"/>
        </w:rPr>
      </w:pPr>
      <w:r>
        <w:rPr>
          <w:color w:val="104F75"/>
          <w:sz w:val="28"/>
          <w:szCs w:val="28"/>
          <w:highlight w:val="white"/>
        </w:rPr>
        <w:t>Contingency fund: £8.693.50</w:t>
      </w:r>
    </w:p>
    <w:p w:rsidR="00095DC9" w:rsidRDefault="00D72BCF">
      <w:pPr>
        <w:pStyle w:val="Heading1"/>
      </w:pPr>
      <w:r>
        <w:lastRenderedPageBreak/>
        <w:t>Part B: Review of the previous academic year</w:t>
      </w:r>
    </w:p>
    <w:p w:rsidR="00095DC9" w:rsidRDefault="00D72BCF">
      <w:pPr>
        <w:pStyle w:val="Heading2"/>
      </w:pPr>
      <w:r>
        <w:t>Outcomes for disadvantaged pupils</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240"/>
        <w:gridCol w:w="2103"/>
        <w:gridCol w:w="2254"/>
        <w:gridCol w:w="2254"/>
      </w:tblGrid>
      <w:tr w:rsidR="00095DC9">
        <w:tc>
          <w:tcPr>
            <w:tcW w:w="9016" w:type="dxa"/>
            <w:gridSpan w:val="5"/>
          </w:tcPr>
          <w:p w:rsidR="00095DC9" w:rsidRDefault="00D72BCF">
            <w:pPr>
              <w:rPr>
                <w:sz w:val="20"/>
                <w:szCs w:val="20"/>
              </w:rPr>
            </w:pPr>
            <w:r>
              <w:rPr>
                <w:rFonts w:ascii="Calibri" w:eastAsia="Calibri" w:hAnsi="Calibri" w:cs="Calibri"/>
                <w:sz w:val="20"/>
                <w:szCs w:val="20"/>
              </w:rPr>
              <w:t>2023 24 End of Key Stage Outcomes for Disadvantaged children</w:t>
            </w:r>
          </w:p>
        </w:tc>
      </w:tr>
      <w:tr w:rsidR="00095DC9">
        <w:tc>
          <w:tcPr>
            <w:tcW w:w="2405" w:type="dxa"/>
            <w:gridSpan w:val="2"/>
          </w:tcPr>
          <w:p w:rsidR="00095DC9" w:rsidRDefault="00095DC9">
            <w:pPr>
              <w:jc w:val="center"/>
              <w:rPr>
                <w:rFonts w:ascii="Calibri" w:eastAsia="Calibri" w:hAnsi="Calibri" w:cs="Calibri"/>
                <w:sz w:val="20"/>
                <w:szCs w:val="20"/>
              </w:rPr>
            </w:pP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2022 23</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23 24</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color w:val="E36C09"/>
                <w:sz w:val="20"/>
                <w:szCs w:val="20"/>
              </w:rPr>
              <w:t>+</w:t>
            </w:r>
            <w:r>
              <w:rPr>
                <w:rFonts w:ascii="Calibri" w:eastAsia="Calibri" w:hAnsi="Calibri" w:cs="Calibri"/>
                <w:sz w:val="20"/>
                <w:szCs w:val="20"/>
              </w:rPr>
              <w:t xml:space="preserve"> / -</w:t>
            </w:r>
          </w:p>
        </w:tc>
      </w:tr>
      <w:tr w:rsidR="00095DC9">
        <w:tc>
          <w:tcPr>
            <w:tcW w:w="1165"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EYFS</w:t>
            </w: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GLD</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63%</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56.5%</w:t>
            </w:r>
          </w:p>
        </w:tc>
        <w:tc>
          <w:tcPr>
            <w:tcW w:w="2254" w:type="dxa"/>
          </w:tcPr>
          <w:p w:rsidR="00095DC9" w:rsidRDefault="00D72BCF">
            <w:pPr>
              <w:jc w:val="center"/>
              <w:rPr>
                <w:rFonts w:ascii="Calibri" w:eastAsia="Calibri" w:hAnsi="Calibri" w:cs="Calibri"/>
                <w:color w:val="FF0000"/>
                <w:sz w:val="20"/>
                <w:szCs w:val="20"/>
              </w:rPr>
            </w:pPr>
            <w:r>
              <w:rPr>
                <w:rFonts w:ascii="Calibri" w:eastAsia="Calibri" w:hAnsi="Calibri" w:cs="Calibri"/>
                <w:color w:val="FF0000"/>
                <w:sz w:val="20"/>
                <w:szCs w:val="20"/>
              </w:rPr>
              <w:t>-6.5</w:t>
            </w:r>
          </w:p>
        </w:tc>
      </w:tr>
      <w:tr w:rsidR="00095DC9">
        <w:tc>
          <w:tcPr>
            <w:tcW w:w="1165"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KS1</w:t>
            </w: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Phonics</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70%</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81.3%</w:t>
            </w:r>
          </w:p>
        </w:tc>
        <w:tc>
          <w:tcPr>
            <w:tcW w:w="2254" w:type="dxa"/>
          </w:tcPr>
          <w:p w:rsidR="00095DC9" w:rsidRDefault="00D72BCF">
            <w:pPr>
              <w:jc w:val="center"/>
              <w:rPr>
                <w:rFonts w:ascii="Calibri" w:eastAsia="Calibri" w:hAnsi="Calibri" w:cs="Calibri"/>
                <w:color w:val="00B050"/>
                <w:sz w:val="20"/>
                <w:szCs w:val="20"/>
              </w:rPr>
            </w:pPr>
            <w:r>
              <w:rPr>
                <w:rFonts w:ascii="Calibri" w:eastAsia="Calibri" w:hAnsi="Calibri" w:cs="Calibri"/>
                <w:color w:val="00B050"/>
                <w:sz w:val="20"/>
                <w:szCs w:val="20"/>
              </w:rPr>
              <w:t>+11.3%</w:t>
            </w:r>
          </w:p>
        </w:tc>
      </w:tr>
      <w:tr w:rsidR="00095DC9">
        <w:tc>
          <w:tcPr>
            <w:tcW w:w="1165"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KS2</w:t>
            </w: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Reading</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56.1%</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61%</w:t>
            </w:r>
          </w:p>
        </w:tc>
        <w:tc>
          <w:tcPr>
            <w:tcW w:w="2254" w:type="dxa"/>
          </w:tcPr>
          <w:p w:rsidR="00095DC9" w:rsidRDefault="00D72BCF">
            <w:pPr>
              <w:jc w:val="center"/>
              <w:rPr>
                <w:rFonts w:ascii="Calibri" w:eastAsia="Calibri" w:hAnsi="Calibri" w:cs="Calibri"/>
                <w:color w:val="76923C"/>
                <w:sz w:val="20"/>
                <w:szCs w:val="20"/>
              </w:rPr>
            </w:pPr>
            <w:r>
              <w:rPr>
                <w:rFonts w:ascii="Calibri" w:eastAsia="Calibri" w:hAnsi="Calibri" w:cs="Calibri"/>
                <w:color w:val="00B050"/>
                <w:sz w:val="20"/>
                <w:szCs w:val="20"/>
              </w:rPr>
              <w:t>+3.9%</w:t>
            </w:r>
          </w:p>
        </w:tc>
      </w:tr>
      <w:tr w:rsidR="00095DC9">
        <w:tc>
          <w:tcPr>
            <w:tcW w:w="1165" w:type="dxa"/>
          </w:tcPr>
          <w:p w:rsidR="00095DC9" w:rsidRDefault="00095DC9">
            <w:pPr>
              <w:jc w:val="center"/>
              <w:rPr>
                <w:rFonts w:ascii="Calibri" w:eastAsia="Calibri" w:hAnsi="Calibri" w:cs="Calibri"/>
                <w:sz w:val="20"/>
                <w:szCs w:val="20"/>
              </w:rPr>
            </w:pP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Reading GD</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17%</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12.2</w:t>
            </w:r>
          </w:p>
        </w:tc>
        <w:tc>
          <w:tcPr>
            <w:tcW w:w="2254" w:type="dxa"/>
          </w:tcPr>
          <w:p w:rsidR="00095DC9" w:rsidRDefault="00D72BCF">
            <w:pPr>
              <w:jc w:val="center"/>
              <w:rPr>
                <w:rFonts w:ascii="Calibri" w:eastAsia="Calibri" w:hAnsi="Calibri" w:cs="Calibri"/>
                <w:color w:val="76923C"/>
                <w:sz w:val="20"/>
                <w:szCs w:val="20"/>
              </w:rPr>
            </w:pPr>
            <w:r>
              <w:rPr>
                <w:rFonts w:ascii="Calibri" w:eastAsia="Calibri" w:hAnsi="Calibri" w:cs="Calibri"/>
                <w:color w:val="FF0000"/>
                <w:sz w:val="20"/>
                <w:szCs w:val="20"/>
              </w:rPr>
              <w:t>-4.8%</w:t>
            </w:r>
          </w:p>
        </w:tc>
      </w:tr>
      <w:tr w:rsidR="00095DC9">
        <w:tc>
          <w:tcPr>
            <w:tcW w:w="1165" w:type="dxa"/>
          </w:tcPr>
          <w:p w:rsidR="00095DC9" w:rsidRDefault="00095DC9">
            <w:pPr>
              <w:jc w:val="center"/>
              <w:rPr>
                <w:rFonts w:ascii="Calibri" w:eastAsia="Calibri" w:hAnsi="Calibri" w:cs="Calibri"/>
                <w:sz w:val="20"/>
                <w:szCs w:val="20"/>
              </w:rPr>
            </w:pP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Writing</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58.5%</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56.1%</w:t>
            </w:r>
          </w:p>
        </w:tc>
        <w:tc>
          <w:tcPr>
            <w:tcW w:w="2254" w:type="dxa"/>
          </w:tcPr>
          <w:p w:rsidR="00095DC9" w:rsidRDefault="00D72BCF">
            <w:pPr>
              <w:jc w:val="center"/>
              <w:rPr>
                <w:rFonts w:ascii="Calibri" w:eastAsia="Calibri" w:hAnsi="Calibri" w:cs="Calibri"/>
                <w:color w:val="76923C"/>
                <w:sz w:val="20"/>
                <w:szCs w:val="20"/>
              </w:rPr>
            </w:pPr>
            <w:r>
              <w:rPr>
                <w:rFonts w:ascii="Calibri" w:eastAsia="Calibri" w:hAnsi="Calibri" w:cs="Calibri"/>
                <w:color w:val="FF0000"/>
                <w:sz w:val="20"/>
                <w:szCs w:val="20"/>
              </w:rPr>
              <w:t>-2.2</w:t>
            </w:r>
          </w:p>
        </w:tc>
      </w:tr>
      <w:tr w:rsidR="00095DC9">
        <w:tc>
          <w:tcPr>
            <w:tcW w:w="1165" w:type="dxa"/>
          </w:tcPr>
          <w:p w:rsidR="00095DC9" w:rsidRDefault="00095DC9">
            <w:pPr>
              <w:jc w:val="center"/>
              <w:rPr>
                <w:rFonts w:ascii="Calibri" w:eastAsia="Calibri" w:hAnsi="Calibri" w:cs="Calibri"/>
                <w:sz w:val="20"/>
                <w:szCs w:val="20"/>
              </w:rPr>
            </w:pP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Writing GD</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0%</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2.4%</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color w:val="00B050"/>
                <w:sz w:val="20"/>
                <w:szCs w:val="20"/>
              </w:rPr>
              <w:t>2.4%</w:t>
            </w:r>
          </w:p>
        </w:tc>
      </w:tr>
      <w:tr w:rsidR="00095DC9">
        <w:tc>
          <w:tcPr>
            <w:tcW w:w="1165" w:type="dxa"/>
          </w:tcPr>
          <w:p w:rsidR="00095DC9" w:rsidRDefault="00095DC9">
            <w:pPr>
              <w:jc w:val="center"/>
              <w:rPr>
                <w:rFonts w:ascii="Calibri" w:eastAsia="Calibri" w:hAnsi="Calibri" w:cs="Calibri"/>
                <w:sz w:val="20"/>
                <w:szCs w:val="20"/>
              </w:rPr>
            </w:pP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Maths</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58.5%</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61%</w:t>
            </w:r>
          </w:p>
        </w:tc>
        <w:tc>
          <w:tcPr>
            <w:tcW w:w="2254" w:type="dxa"/>
          </w:tcPr>
          <w:p w:rsidR="00095DC9" w:rsidRDefault="00D72BCF">
            <w:pPr>
              <w:jc w:val="center"/>
              <w:rPr>
                <w:rFonts w:ascii="Calibri" w:eastAsia="Calibri" w:hAnsi="Calibri" w:cs="Calibri"/>
                <w:color w:val="E36C09"/>
                <w:sz w:val="20"/>
                <w:szCs w:val="20"/>
              </w:rPr>
            </w:pPr>
            <w:r>
              <w:rPr>
                <w:rFonts w:ascii="Calibri" w:eastAsia="Calibri" w:hAnsi="Calibri" w:cs="Calibri"/>
                <w:color w:val="00B050"/>
                <w:sz w:val="20"/>
                <w:szCs w:val="20"/>
              </w:rPr>
              <w:t>+2.5%</w:t>
            </w:r>
          </w:p>
        </w:tc>
      </w:tr>
      <w:tr w:rsidR="00095DC9">
        <w:tc>
          <w:tcPr>
            <w:tcW w:w="1165" w:type="dxa"/>
          </w:tcPr>
          <w:p w:rsidR="00095DC9" w:rsidRDefault="00095DC9">
            <w:pPr>
              <w:jc w:val="center"/>
              <w:rPr>
                <w:rFonts w:ascii="Calibri" w:eastAsia="Calibri" w:hAnsi="Calibri" w:cs="Calibri"/>
                <w:sz w:val="20"/>
                <w:szCs w:val="20"/>
              </w:rPr>
            </w:pP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Maths GD</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7.3%</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7.3</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0</w:t>
            </w:r>
          </w:p>
        </w:tc>
      </w:tr>
      <w:tr w:rsidR="00095DC9">
        <w:tc>
          <w:tcPr>
            <w:tcW w:w="1165" w:type="dxa"/>
          </w:tcPr>
          <w:p w:rsidR="00095DC9" w:rsidRDefault="00095DC9">
            <w:pPr>
              <w:jc w:val="center"/>
              <w:rPr>
                <w:rFonts w:ascii="Calibri" w:eastAsia="Calibri" w:hAnsi="Calibri" w:cs="Calibri"/>
                <w:sz w:val="20"/>
                <w:szCs w:val="20"/>
              </w:rPr>
            </w:pP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RWM</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46.3%</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48.8%</w:t>
            </w:r>
          </w:p>
        </w:tc>
        <w:tc>
          <w:tcPr>
            <w:tcW w:w="2254" w:type="dxa"/>
          </w:tcPr>
          <w:p w:rsidR="00095DC9" w:rsidRDefault="00D72BCF">
            <w:pPr>
              <w:jc w:val="center"/>
              <w:rPr>
                <w:rFonts w:ascii="Calibri" w:eastAsia="Calibri" w:hAnsi="Calibri" w:cs="Calibri"/>
                <w:color w:val="E36C09"/>
                <w:sz w:val="20"/>
                <w:szCs w:val="20"/>
              </w:rPr>
            </w:pPr>
            <w:r>
              <w:rPr>
                <w:rFonts w:ascii="Calibri" w:eastAsia="Calibri" w:hAnsi="Calibri" w:cs="Calibri"/>
                <w:color w:val="00B050"/>
                <w:sz w:val="20"/>
                <w:szCs w:val="20"/>
              </w:rPr>
              <w:t>+2.5</w:t>
            </w:r>
          </w:p>
        </w:tc>
      </w:tr>
      <w:tr w:rsidR="00095DC9">
        <w:tc>
          <w:tcPr>
            <w:tcW w:w="1165" w:type="dxa"/>
          </w:tcPr>
          <w:p w:rsidR="00095DC9" w:rsidRDefault="00095DC9">
            <w:pPr>
              <w:jc w:val="center"/>
              <w:rPr>
                <w:rFonts w:ascii="Calibri" w:eastAsia="Calibri" w:hAnsi="Calibri" w:cs="Calibri"/>
                <w:sz w:val="20"/>
                <w:szCs w:val="20"/>
              </w:rPr>
            </w:pPr>
          </w:p>
        </w:tc>
        <w:tc>
          <w:tcPr>
            <w:tcW w:w="1240"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RWM GD</w:t>
            </w:r>
          </w:p>
        </w:tc>
        <w:tc>
          <w:tcPr>
            <w:tcW w:w="2103"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0%</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sz w:val="20"/>
                <w:szCs w:val="20"/>
              </w:rPr>
              <w:t>2.4%</w:t>
            </w:r>
          </w:p>
        </w:tc>
        <w:tc>
          <w:tcPr>
            <w:tcW w:w="2254" w:type="dxa"/>
          </w:tcPr>
          <w:p w:rsidR="00095DC9" w:rsidRDefault="00D72BCF">
            <w:pPr>
              <w:jc w:val="center"/>
              <w:rPr>
                <w:rFonts w:ascii="Calibri" w:eastAsia="Calibri" w:hAnsi="Calibri" w:cs="Calibri"/>
                <w:sz w:val="20"/>
                <w:szCs w:val="20"/>
              </w:rPr>
            </w:pPr>
            <w:r>
              <w:rPr>
                <w:rFonts w:ascii="Calibri" w:eastAsia="Calibri" w:hAnsi="Calibri" w:cs="Calibri"/>
                <w:color w:val="FF0000"/>
                <w:sz w:val="20"/>
                <w:szCs w:val="20"/>
              </w:rPr>
              <w:t>-</w:t>
            </w:r>
            <w:r>
              <w:rPr>
                <w:rFonts w:ascii="Calibri" w:eastAsia="Calibri" w:hAnsi="Calibri" w:cs="Calibri"/>
                <w:color w:val="00B050"/>
                <w:sz w:val="20"/>
                <w:szCs w:val="20"/>
              </w:rPr>
              <w:t>2.4%</w:t>
            </w:r>
          </w:p>
        </w:tc>
      </w:tr>
    </w:tbl>
    <w:p w:rsidR="00095DC9" w:rsidRDefault="00D72BCF">
      <w:r>
        <w:rPr>
          <w:rFonts w:ascii="Calibri" w:eastAsia="Calibri" w:hAnsi="Calibri" w:cs="Calibri"/>
          <w:sz w:val="20"/>
          <w:szCs w:val="20"/>
        </w:rPr>
        <w:t>GD = Greater Depth</w:t>
      </w:r>
    </w:p>
    <w:tbl>
      <w:tblPr>
        <w:tblStyle w:val="a8"/>
        <w:tblW w:w="9493" w:type="dxa"/>
        <w:tblLayout w:type="fixed"/>
        <w:tblLook w:val="0400" w:firstRow="0" w:lastRow="0" w:firstColumn="0" w:lastColumn="0" w:noHBand="0" w:noVBand="1"/>
      </w:tblPr>
      <w:tblGrid>
        <w:gridCol w:w="9493"/>
      </w:tblGrid>
      <w:tr w:rsidR="00095DC9">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5DC9" w:rsidRDefault="00D72BCF">
            <w:pPr>
              <w:spacing w:before="60"/>
              <w:rPr>
                <w:sz w:val="20"/>
                <w:szCs w:val="20"/>
              </w:rPr>
            </w:pPr>
            <w:r>
              <w:rPr>
                <w:sz w:val="20"/>
                <w:szCs w:val="20"/>
              </w:rPr>
              <w:t xml:space="preserve">Outcomes improved for disadvantaged children in all Age related outcomes except EYFS GLD, Reading at GD in KS2 and writing at KS2 where they fell and maths at GD which remained the same. </w:t>
            </w:r>
          </w:p>
          <w:p w:rsidR="00095DC9" w:rsidRDefault="00D72BCF">
            <w:pPr>
              <w:spacing w:before="60"/>
              <w:rPr>
                <w:color w:val="76923C"/>
                <w:sz w:val="20"/>
                <w:szCs w:val="20"/>
              </w:rPr>
            </w:pPr>
            <w:r>
              <w:rPr>
                <w:sz w:val="20"/>
                <w:szCs w:val="20"/>
              </w:rPr>
              <w:t>Phonics outcomes in Year 1 were 81.3% for disadvantaged pupils again</w:t>
            </w:r>
            <w:r>
              <w:rPr>
                <w:sz w:val="20"/>
                <w:szCs w:val="20"/>
              </w:rPr>
              <w:t xml:space="preserve">st a National disadvantaged figure of 68.3% </w:t>
            </w:r>
            <w:r>
              <w:rPr>
                <w:color w:val="00B050"/>
                <w:sz w:val="20"/>
                <w:szCs w:val="20"/>
              </w:rPr>
              <w:t>(+13%)</w:t>
            </w:r>
          </w:p>
          <w:p w:rsidR="00095DC9" w:rsidRDefault="00095DC9">
            <w:pPr>
              <w:spacing w:before="60"/>
              <w:rPr>
                <w:color w:val="76923C"/>
                <w:sz w:val="16"/>
                <w:szCs w:val="16"/>
              </w:rPr>
            </w:pPr>
          </w:p>
        </w:tc>
      </w:tr>
    </w:tbl>
    <w:p w:rsidR="00095DC9" w:rsidRDefault="00095DC9">
      <w:pPr>
        <w:pStyle w:val="Heading2"/>
      </w:pPr>
    </w:p>
    <w:sectPr w:rsidR="00095DC9">
      <w:footerReference w:type="default" r:id="rId21"/>
      <w:pgSz w:w="11906" w:h="16838"/>
      <w:pgMar w:top="28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2BCF">
      <w:pPr>
        <w:spacing w:after="0" w:line="240" w:lineRule="auto"/>
      </w:pPr>
      <w:r>
        <w:separator/>
      </w:r>
    </w:p>
  </w:endnote>
  <w:endnote w:type="continuationSeparator" w:id="0">
    <w:p w:rsidR="00000000" w:rsidRDefault="00D7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C9" w:rsidRDefault="00D72BCF">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2BCF">
      <w:pPr>
        <w:spacing w:after="0" w:line="240" w:lineRule="auto"/>
      </w:pPr>
      <w:r>
        <w:separator/>
      </w:r>
    </w:p>
  </w:footnote>
  <w:footnote w:type="continuationSeparator" w:id="0">
    <w:p w:rsidR="00000000" w:rsidRDefault="00D72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55C8"/>
    <w:multiLevelType w:val="multilevel"/>
    <w:tmpl w:val="2604E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D37CB"/>
    <w:multiLevelType w:val="multilevel"/>
    <w:tmpl w:val="66900AF2"/>
    <w:lvl w:ilvl="0">
      <w:start w:val="1"/>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2" w15:restartNumberingAfterBreak="0">
    <w:nsid w:val="1F650CC1"/>
    <w:multiLevelType w:val="multilevel"/>
    <w:tmpl w:val="EFBEE1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28604D"/>
    <w:multiLevelType w:val="multilevel"/>
    <w:tmpl w:val="5D4A3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C9"/>
    <w:rsid w:val="00095DC9"/>
    <w:rsid w:val="00D7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067BF-1905-4CD3-819D-67D7DA78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ageBreakBefore/>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2tic4wvo1iusb.cloudfront.net/production/documents/news/Diagnostic_Assessment_Tool.pdf?v=1697619973"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yperlink" Target="https://assets.publishing.service.gov.uk/government/uploads/system/uploads/attachment_data/file/897806/Maths_guidance_KS_1_and_2.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2tic4wvo1iusb.cloudfront.net/production/documents/guidance/Cognitive_science_approaches_in_the_classroom_-_A_review_of_the_evidence.pdf?v=1699543766" TargetMode="External"/><Relationship Id="rId12" Type="http://schemas.openxmlformats.org/officeDocument/2006/relationships/hyperlink" Target="https://educationendowmentfoundation.org.uk/education-evidence/guidance-reports/maths-ks-2-3" TargetMode="External"/><Relationship Id="rId17" Type="http://schemas.openxmlformats.org/officeDocument/2006/relationships/hyperlink" Target="https://educationendowmentfoundation.org.uk/education-evidence/teaching-learning-toolkit/oral-language-interventions"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www.gov.uk/government/publications/working-together-to-improve-school-atten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theme" Target="theme/theme1.xm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https://educationendowmentfoundation.org.uk/education-evidence/guidance-reports/maths-ks-2-3"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oral-language-interventions/"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Bulman</dc:creator>
  <cp:lastModifiedBy>Kate Bulman</cp:lastModifiedBy>
  <cp:revision>2</cp:revision>
  <dcterms:created xsi:type="dcterms:W3CDTF">2025-01-06T15:30:00Z</dcterms:created>
  <dcterms:modified xsi:type="dcterms:W3CDTF">2025-01-06T15:30:00Z</dcterms:modified>
</cp:coreProperties>
</file>